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p>
    <w:p>
      <w:pPr>
        <w:pStyle w:val="Author"/>
      </w:pPr>
      <w:r>
        <w:t xml:space="preserve">Figures</w:t>
      </w:r>
      <w:r>
        <w:t xml:space="preserve"> </w:t>
      </w:r>
      <w:r>
        <w:t xml:space="preserve">and</w:t>
      </w:r>
      <w:r>
        <w:t xml:space="preserve"> </w:t>
      </w:r>
      <w:r>
        <w:t xml:space="preserve">tables</w:t>
      </w:r>
      <w:r>
        <w:t xml:space="preserve"> </w:t>
      </w:r>
      <w:r>
        <w:t xml:space="preserve">from</w:t>
      </w:r>
      <w:r>
        <w:t xml:space="preserve"> </w:t>
      </w:r>
      <w:r>
        <w:t xml:space="preserve">the</w:t>
      </w:r>
      <w:r>
        <w:t xml:space="preserve"> </w:t>
      </w:r>
      <w:r>
        <w:t xml:space="preserve">main</w:t>
      </w:r>
      <w:r>
        <w:t xml:space="preserve"> </w:t>
      </w:r>
      <w:r>
        <w:t xml:space="preserve">analysis,</w:t>
      </w:r>
      <w:r>
        <w:t xml:space="preserve"> </w:t>
      </w:r>
      <w:r>
        <w:t xml:space="preserve">restricted</w:t>
      </w:r>
      <w:r>
        <w:t xml:space="preserve"> </w:t>
      </w:r>
      <w:r>
        <w:t xml:space="preserve">to</w:t>
      </w:r>
      <w:r>
        <w:t xml:space="preserve"> </w:t>
      </w:r>
      <w:r>
        <w:t xml:space="preserve">199</w:t>
      </w:r>
      <w:r>
        <w:t xml:space="preserve"> </w:t>
      </w:r>
      <w:r>
        <w:t xml:space="preserve">routes</w:t>
      </w:r>
      <w:r>
        <w:t xml:space="preserve"> </w:t>
      </w:r>
      <w:r>
        <w:t xml:space="preserve">with</w:t>
      </w:r>
      <w:r>
        <w:t xml:space="preserve"> </w:t>
      </w:r>
      <w:r>
        <w:t xml:space="preserve">perfect</w:t>
      </w:r>
      <w:r>
        <w:t xml:space="preserve"> </w:t>
      </w:r>
      <w:r>
        <w:t xml:space="preserve">temporal</w:t>
      </w:r>
      <w:r>
        <w:t xml:space="preserve"> </w:t>
      </w:r>
      <w:r>
        <w:t xml:space="preserve">coverage</w:t>
      </w:r>
      <w:r>
        <w:t xml:space="preserve"> </w:t>
      </w:r>
      <w:r>
        <w:t xml:space="preserve">(i.e. no</w:t>
      </w:r>
      <w:r>
        <w:t xml:space="preserve"> </w:t>
      </w:r>
      <w:r>
        <w:t xml:space="preserve">missing</w:t>
      </w:r>
      <w:r>
        <w:t xml:space="preserve"> </w:t>
      </w:r>
      <w:r>
        <w:t xml:space="preserve">time</w:t>
      </w:r>
      <w:r>
        <w:t xml:space="preserve"> </w:t>
      </w:r>
      <w:r>
        <w:t xml:space="preserve">steps).</w:t>
      </w:r>
      <w:r>
        <w:t xml:space="preserve"> </w:t>
      </w:r>
      <w:r>
        <w:t xml:space="preserve">All</w:t>
      </w:r>
      <w:r>
        <w:t xml:space="preserve"> </w:t>
      </w:r>
      <w:r>
        <w:t xml:space="preserve">results</w:t>
      </w:r>
      <w:r>
        <w:t xml:space="preserve"> </w:t>
      </w:r>
      <w:r>
        <w:t xml:space="preserve">are</w:t>
      </w:r>
      <w:r>
        <w:t xml:space="preserve"> </w:t>
      </w:r>
      <w:r>
        <w:t xml:space="preserve">qualitatively</w:t>
      </w:r>
      <w:r>
        <w:t xml:space="preserve"> </w:t>
      </w:r>
      <w:r>
        <w:t xml:space="preserve">the</w:t>
      </w:r>
      <w:r>
        <w:t xml:space="preserve"> </w:t>
      </w:r>
      <w:r>
        <w:t xml:space="preserve">same</w:t>
      </w:r>
      <w:r>
        <w:t xml:space="preserve"> </w:t>
      </w:r>
      <w:r>
        <w:t xml:space="preserve">as</w:t>
      </w:r>
      <w:r>
        <w:t xml:space="preserve"> </w:t>
      </w:r>
      <w:r>
        <w:t xml:space="preserve">for</w:t>
      </w:r>
      <w:r>
        <w:t xml:space="preserve"> </w:t>
      </w:r>
      <w:r>
        <w:t xml:space="preserve">the</w:t>
      </w:r>
      <w:r>
        <w:t xml:space="preserve"> </w:t>
      </w:r>
      <w:r>
        <w:t xml:space="preserve">main</w:t>
      </w:r>
      <w:r>
        <w:t xml:space="preserve"> </w:t>
      </w:r>
      <w:r>
        <w:t xml:space="preserve">analysis</w:t>
      </w:r>
      <w:r>
        <w:t xml:space="preserve"> </w:t>
      </w:r>
      <w:r>
        <w:t xml:space="preserve">(739</w:t>
      </w:r>
      <w:r>
        <w:t xml:space="preserve"> </w:t>
      </w:r>
      <w:r>
        <w:t xml:space="preserve">routes,</w:t>
      </w:r>
      <w:r>
        <w:t xml:space="preserve"> </w:t>
      </w:r>
      <w:r>
        <w:t xml:space="preserve">with</w:t>
      </w:r>
      <w:r>
        <w:t xml:space="preserve"> </w:t>
      </w:r>
      <w:r>
        <w:t xml:space="preserve">a</w:t>
      </w:r>
      <w:r>
        <w:t xml:space="preserve"> </w:t>
      </w:r>
      <w:r>
        <w:t xml:space="preserve">minimum</w:t>
      </w:r>
      <w:r>
        <w:t xml:space="preserve"> </w:t>
      </w:r>
      <w:r>
        <w:t xml:space="preserve">of</w:t>
      </w:r>
      <w:r>
        <w:t xml:space="preserve"> </w:t>
      </w:r>
      <w:r>
        <w:t xml:space="preserve">27</w:t>
      </w:r>
      <w:r>
        <w:t xml:space="preserve"> </w:t>
      </w:r>
      <w:r>
        <w:t xml:space="preserve">of</w:t>
      </w:r>
      <w:r>
        <w:t xml:space="preserve"> </w:t>
      </w:r>
      <w:r>
        <w:t xml:space="preserve">30</w:t>
      </w:r>
      <w:r>
        <w:t xml:space="preserve"> </w:t>
      </w:r>
      <w:r>
        <w:t xml:space="preserve">time</w:t>
      </w:r>
      <w:r>
        <w:t xml:space="preserve"> </w:t>
      </w:r>
      <w:r>
        <w:t xml:space="preserve">steps</w:t>
      </w:r>
      <w:r>
        <w:t xml:space="preserve"> </w:t>
      </w:r>
      <w:r>
        <w:t xml:space="preserve">sampled</w:t>
      </w:r>
      <w:r>
        <w:t xml:space="preserve"> </w:t>
      </w:r>
      <w:r>
        <w:t xml:space="preserve">for</w:t>
      </w:r>
      <w:r>
        <w:t xml:space="preserve"> </w:t>
      </w:r>
      <w:r>
        <w:t xml:space="preserve">each</w:t>
      </w:r>
      <w:r>
        <w:t xml:space="preserve"> </w:t>
      </w:r>
      <w:r>
        <w:t xml:space="preserve">route).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ppendix-s1-figure-s1."/>
    <w:p>
      <w:pPr>
        <w:pStyle w:val="Heading1"/>
      </w:pPr>
      <w:r>
        <w:t xml:space="preserve">Appendix S1 Figure S1.</w:t>
      </w:r>
    </w:p>
    <w:p>
      <w:pPr>
        <w:pStyle w:val="FirstParagraph"/>
      </w:pPr>
      <w:r>
        <w:drawing>
          <wp:inline>
            <wp:extent cx="4876800" cy="4876800"/>
            <wp:effectExtent b="0" l="0" r="0" t="0"/>
            <wp:docPr descr="" title="" id="21" name="Picture"/>
            <a:graphic>
              <a:graphicData uri="http://schemas.openxmlformats.org/drawingml/2006/picture">
                <pic:pic>
                  <pic:nvPicPr>
                    <pic:cNvPr descr="appendix_s1_files/figure-docx/unnamed-chunk-1-1.png" id="22" name="Picture"/>
                    <pic:cNvPicPr>
                      <a:picLocks noChangeArrowheads="1" noChangeAspect="1"/>
                    </pic:cNvPicPr>
                  </pic:nvPicPr>
                  <pic:blipFill>
                    <a:blip r:embed="rId20"/>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rPr>
          <w:bCs/>
          <w:b/>
        </w:rPr>
        <w:t xml:space="preserve">Appendix S1 Figure S1</w:t>
      </w:r>
      <w:r>
        <w:t xml:space="preserve">. Histograms showing the direction and magnitude of long-term trends for the individuals-driven (null-model; left) and observed (right) changes in biomass (A) and energy use (B), for communities with a significant slope and/or interaction term (for biomass, 141/199 routes; for energy use, 137/199 routes; Table 1).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individuals-driven dynamics (left) reflect the trends fit for the null model, while the observed dynamics (right) reflect trends incorporating both change in total abundance and change in the size structure over time. For communities best-described by syndromes of</w:t>
      </w:r>
      <w:r>
        <w:t xml:space="preserve"> </w:t>
      </w:r>
      <w:r>
        <w:t xml:space="preserve">“</w:t>
      </w:r>
      <w:r>
        <w:t xml:space="preserve">coupled trends</w:t>
      </w:r>
      <w:r>
        <w:t xml:space="preserve">”</w:t>
      </w:r>
      <w:r>
        <w:t xml:space="preserve"> </w:t>
      </w:r>
      <w:r>
        <w:t xml:space="preserve">or</w:t>
      </w:r>
      <w:r>
        <w:t xml:space="preserve"> </w:t>
      </w:r>
      <w:r>
        <w:t xml:space="preserve">“</w:t>
      </w:r>
      <w:r>
        <w:t xml:space="preserve">no directional change</w:t>
      </w:r>
      <w:r>
        <w:t xml:space="preserve">”</w:t>
      </w:r>
      <w:r>
        <w:t xml:space="preserve">, the</w:t>
      </w:r>
      <w:r>
        <w:t xml:space="preserve"> </w:t>
      </w:r>
      <w:r>
        <w:t xml:space="preserve">“</w:t>
      </w:r>
      <w:r>
        <w:t xml:space="preserve">individuals-driven</w:t>
      </w:r>
      <w:r>
        <w:t xml:space="preserve">”</w:t>
      </w:r>
      <w:r>
        <w:t xml:space="preserve"> </w:t>
      </w:r>
      <w:r>
        <w:t xml:space="preserve">and</w:t>
      </w:r>
      <w:r>
        <w:t xml:space="preserve"> </w:t>
      </w:r>
      <w:r>
        <w:t xml:space="preserve">“</w:t>
      </w:r>
      <w:r>
        <w:t xml:space="preserve">observed</w:t>
      </w:r>
      <w:r>
        <w:t xml:space="preserve">”</w:t>
      </w:r>
      <w:r>
        <w:t xml:space="preserve"> </w:t>
      </w:r>
      <w:r>
        <w:t xml:space="preserve">ratios will be the same; for communities with</w:t>
      </w:r>
      <w:r>
        <w:t xml:space="preserve"> </w:t>
      </w:r>
      <w:r>
        <w:t xml:space="preserve">“</w:t>
      </w:r>
      <w:r>
        <w:t xml:space="preserve">decoupled trends</w:t>
      </w:r>
      <w:r>
        <w:t xml:space="preserve">”</w:t>
      </w:r>
      <w:r>
        <w:t xml:space="preserve">, there will be different ratios for or</w:t>
      </w:r>
      <w:r>
        <w:t xml:space="preserve"> </w:t>
      </w:r>
      <w:r>
        <w:t xml:space="preserve">“</w:t>
      </w:r>
      <w:r>
        <w:t xml:space="preserve">individuals-driven</w:t>
      </w:r>
      <w:r>
        <w:t xml:space="preserve">”</w:t>
      </w:r>
      <w:r>
        <w:t xml:space="preserve"> </w:t>
      </w:r>
      <w:r>
        <w:t xml:space="preserve">and</w:t>
      </w:r>
      <w:r>
        <w:t xml:space="preserve"> </w:t>
      </w:r>
      <w:r>
        <w:t xml:space="preserve">“</w:t>
      </w:r>
      <w:r>
        <w:t xml:space="preserve">observed</w:t>
      </w:r>
      <w:r>
        <w:t xml:space="preserve">”</w:t>
      </w:r>
      <w:r>
        <w:t xml:space="preserve"> </w:t>
      </w:r>
      <w:r>
        <w:t xml:space="preserve">dynamics.</w:t>
      </w:r>
    </w:p>
    <w:p>
      <w:pPr>
        <w:pStyle w:val="BodyText"/>
      </w:pPr>
      <w:r>
        <w:t xml:space="preserve">Among routes with temporal trends (</w:t>
      </w:r>
      <w:r>
        <w:t xml:space="preserve">“</w:t>
      </w:r>
      <w:r>
        <w:t xml:space="preserve">coupled trends</w:t>
      </w:r>
      <w:r>
        <w:t xml:space="preserve">”</w:t>
      </w:r>
      <w:r>
        <w:t xml:space="preserve"> </w:t>
      </w:r>
      <w:r>
        <w:t xml:space="preserve">or</w:t>
      </w:r>
      <w:r>
        <w:t xml:space="preserve"> </w:t>
      </w:r>
      <w:r>
        <w:t xml:space="preserve">“</w:t>
      </w:r>
      <w:r>
        <w:t xml:space="preserve">decoupled trends</w:t>
      </w:r>
      <w:r>
        <w:t xml:space="preserve">”</w:t>
      </w:r>
      <w:r>
        <w:t xml:space="preserve">), there are qualitatively different continental-wide patterns in individuals-driven and observed dynamics for total biomass and total energy use. 76% of trends in individuals-driven (null model) dynamics for energy use are decreasing, and 72% for biomass (Table 2). For biomass, observed dynamics are balanced evenly between increases (50% of routes) and decreases (50%) - indicating that changes in the size structure produce qualitatively different long-term trends for biomass than would be expected given abundance changes alone. However, trends for energy use (which scales nonlinearly with biomass) are dominated by decreases (69% of routes), more closely mirroring the trends expected given changes in individual abundance alone.</w:t>
      </w:r>
    </w:p>
    <w:p>
      <w:r>
        <w:br w:type="page"/>
      </w:r>
    </w:p>
    <w:bookmarkEnd w:id="23"/>
    <w:bookmarkStart w:id="27" w:name="appendix-s1-figure-s2"/>
    <w:p>
      <w:pPr>
        <w:pStyle w:val="Heading1"/>
      </w:pPr>
      <w:r>
        <w:t xml:space="preserve">Appendix S1 Figure S2</w:t>
      </w:r>
    </w:p>
    <w:p>
      <w:pPr>
        <w:pStyle w:val="FirstParagraph"/>
      </w:pPr>
      <w:r>
        <w:drawing>
          <wp:inline>
            <wp:extent cx="5943600" cy="3467100"/>
            <wp:effectExtent b="0" l="0" r="0" t="0"/>
            <wp:docPr descr="" title="" id="25" name="Picture"/>
            <a:graphic>
              <a:graphicData uri="http://schemas.openxmlformats.org/drawingml/2006/picture">
                <pic:pic>
                  <pic:nvPicPr>
                    <pic:cNvPr descr="appendix_s1_files/figure-docx/unnamed-chunk-4-1.png" id="26" name="Picture"/>
                    <pic:cNvPicPr>
                      <a:picLocks noChangeArrowheads="1" noChangeAspect="1"/>
                    </pic:cNvPicPr>
                  </pic:nvPicPr>
                  <pic:blipFill>
                    <a:blip r:embed="rId24"/>
                    <a:stretch>
                      <a:fillRect/>
                    </a:stretch>
                  </pic:blipFill>
                  <pic:spPr bwMode="auto">
                    <a:xfrm>
                      <a:off x="0" y="0"/>
                      <a:ext cx="5943600" cy="3467100"/>
                    </a:xfrm>
                    <a:prstGeom prst="rect">
                      <a:avLst/>
                    </a:prstGeom>
                    <a:noFill/>
                    <a:ln w="9525">
                      <a:noFill/>
                      <a:headEnd/>
                      <a:tailEnd/>
                    </a:ln>
                  </pic:spPr>
                </pic:pic>
              </a:graphicData>
            </a:graphic>
          </wp:inline>
        </w:drawing>
      </w:r>
    </w:p>
    <w:p>
      <w:pPr>
        <w:pStyle w:val="BodyText"/>
      </w:pPr>
      <w:r>
        <w:rPr>
          <w:bCs/>
          <w:b/>
        </w:rPr>
        <w:t xml:space="preserve">Appendix S1 Figure S2.</w:t>
      </w:r>
      <w:r>
        <w:t xml:space="preserve"> </w:t>
      </w:r>
      <w:r>
        <w:t xml:space="preserve">Histograms of (A) change in mean body size from the first to the last five years of monitoring, (B) overall change in the size structure, and (C) change in species composition for routes whose dynamics for total biomass were best-described using no temporal trend (bottom row; intercept-only model), separate trends for observed and individuals-driven dynamics (middle row), or the same trend for observed and individuals-driven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 Change in species composition (C) is Bray-Curtis dissimilarity comparing species composition in the first five years to the last five years.</w:t>
      </w:r>
    </w:p>
    <w:p>
      <w:r>
        <w:br w:type="page"/>
      </w:r>
    </w:p>
    <w:bookmarkEnd w:id="27"/>
    <w:bookmarkStart w:id="28" w:name="appendix-s1-table-s1."/>
    <w:p>
      <w:pPr>
        <w:pStyle w:val="Heading1"/>
      </w:pPr>
      <w:r>
        <w:t xml:space="preserve">Appendix S1 Table S1.</w:t>
      </w:r>
    </w:p>
    <w:tbl>
      <w:tblPr>
        <w:tblStyle w:val="Table"/>
        <w:tblW w:type="pct" w:w="5000"/>
        <w:tblLook w:firstRow="1" w:lastRow="0" w:firstColumn="0" w:lastColumn="0" w:noHBand="0" w:noVBand="0" w:val="0020"/>
      </w:tblPr>
      <w:tblGrid>
        <w:gridCol w:w="1771"/>
        <w:gridCol w:w="2188"/>
        <w:gridCol w:w="1771"/>
        <w:gridCol w:w="2188"/>
      </w:tblGrid>
      <w:tr>
        <w:trPr>
          <w:tblHeader w:val="true"/>
        </w:trPr>
        <w:tc>
          <w:tcPr/>
          <w:p>
            <w:pPr>
              <w:pStyle w:val="Compact"/>
              <w:jc w:val="left"/>
            </w:pPr>
            <w:r>
              <w:t xml:space="preserve">Currency</w:t>
            </w:r>
          </w:p>
        </w:tc>
        <w:tc>
          <w:tcPr/>
          <w:p>
            <w:pPr>
              <w:pStyle w:val="Compact"/>
              <w:jc w:val="left"/>
            </w:pPr>
            <w:r>
              <w:t xml:space="preserve">Selected model</w:t>
            </w:r>
          </w:p>
        </w:tc>
        <w:tc>
          <w:tcPr/>
          <w:p>
            <w:pPr>
              <w:pStyle w:val="Compact"/>
              <w:jc w:val="right"/>
            </w:pPr>
            <w:r>
              <w:t xml:space="preserve">Number of routes</w:t>
            </w:r>
          </w:p>
        </w:tc>
        <w:tc>
          <w:tcPr/>
          <w:p>
            <w:pPr>
              <w:pStyle w:val="Compact"/>
              <w:jc w:val="right"/>
            </w:pPr>
            <w:r>
              <w:t xml:space="preserve">Proportion of routes</w:t>
            </w:r>
          </w:p>
        </w:tc>
      </w:tr>
      <w:tr>
        <w:tc>
          <w:tcPr/>
          <w:p>
            <w:pPr>
              <w:pStyle w:val="Compact"/>
              <w:jc w:val="left"/>
            </w:pPr>
            <w:r>
              <w:t xml:space="preserve">Total biomass</w:t>
            </w:r>
          </w:p>
        </w:tc>
        <w:tc>
          <w:tcPr/>
          <w:p>
            <w:pPr>
              <w:pStyle w:val="Compact"/>
              <w:jc w:val="left"/>
            </w:pPr>
            <w:r>
              <w:t xml:space="preserve">Intercept-only</w:t>
            </w:r>
          </w:p>
        </w:tc>
        <w:tc>
          <w:tcPr/>
          <w:p>
            <w:pPr>
              <w:pStyle w:val="Compact"/>
              <w:jc w:val="right"/>
            </w:pPr>
            <w:r>
              <w:t xml:space="preserve">58</w:t>
            </w:r>
          </w:p>
        </w:tc>
        <w:tc>
          <w:tcPr/>
          <w:p>
            <w:pPr>
              <w:pStyle w:val="Compact"/>
              <w:jc w:val="right"/>
            </w:pPr>
            <w:r>
              <w:t xml:space="preserve">0.29</w:t>
            </w:r>
          </w:p>
        </w:tc>
      </w:tr>
      <w:tr>
        <w:tc>
          <w:tcPr/>
          <w:p>
            <w:pPr>
              <w:pStyle w:val="Compact"/>
              <w:jc w:val="left"/>
            </w:pPr>
            <w:r>
              <w:t xml:space="preserve">Total biomass</w:t>
            </w:r>
          </w:p>
        </w:tc>
        <w:tc>
          <w:tcPr/>
          <w:p>
            <w:pPr>
              <w:pStyle w:val="Compact"/>
              <w:jc w:val="left"/>
            </w:pPr>
            <w:r>
              <w:t xml:space="preserve">Trend, not decoupled</w:t>
            </w:r>
          </w:p>
        </w:tc>
        <w:tc>
          <w:tcPr/>
          <w:p>
            <w:pPr>
              <w:pStyle w:val="Compact"/>
              <w:jc w:val="right"/>
            </w:pPr>
            <w:r>
              <w:t xml:space="preserve">86</w:t>
            </w:r>
          </w:p>
        </w:tc>
        <w:tc>
          <w:tcPr/>
          <w:p>
            <w:pPr>
              <w:pStyle w:val="Compact"/>
              <w:jc w:val="right"/>
            </w:pPr>
            <w:r>
              <w:t xml:space="preserve">0.43</w:t>
            </w:r>
          </w:p>
        </w:tc>
      </w:tr>
      <w:tr>
        <w:tc>
          <w:tcPr/>
          <w:p>
            <w:pPr>
              <w:pStyle w:val="Compact"/>
              <w:jc w:val="left"/>
            </w:pPr>
            <w:r>
              <w:t xml:space="preserve">Total biomass</w:t>
            </w:r>
          </w:p>
        </w:tc>
        <w:tc>
          <w:tcPr/>
          <w:p>
            <w:pPr>
              <w:pStyle w:val="Compact"/>
              <w:jc w:val="left"/>
            </w:pPr>
            <w:r>
              <w:t xml:space="preserve">Decoupled trend</w:t>
            </w:r>
          </w:p>
        </w:tc>
        <w:tc>
          <w:tcPr/>
          <w:p>
            <w:pPr>
              <w:pStyle w:val="Compact"/>
              <w:jc w:val="right"/>
            </w:pPr>
            <w:r>
              <w:t xml:space="preserve">55</w:t>
            </w:r>
          </w:p>
        </w:tc>
        <w:tc>
          <w:tcPr/>
          <w:p>
            <w:pPr>
              <w:pStyle w:val="Compact"/>
              <w:jc w:val="right"/>
            </w:pPr>
            <w:r>
              <w:t xml:space="preserve">0.28</w:t>
            </w:r>
          </w:p>
        </w:tc>
      </w:tr>
      <w:tr>
        <w:tc>
          <w:tcPr/>
          <w:p>
            <w:pPr>
              <w:pStyle w:val="Compact"/>
              <w:jc w:val="left"/>
            </w:pPr>
            <w:r>
              <w:t xml:space="preserve">Total energy use</w:t>
            </w:r>
          </w:p>
        </w:tc>
        <w:tc>
          <w:tcPr/>
          <w:p>
            <w:pPr>
              <w:pStyle w:val="Compact"/>
              <w:jc w:val="left"/>
            </w:pPr>
            <w:r>
              <w:t xml:space="preserve">Intercept-only</w:t>
            </w:r>
          </w:p>
        </w:tc>
        <w:tc>
          <w:tcPr/>
          <w:p>
            <w:pPr>
              <w:pStyle w:val="Compact"/>
              <w:jc w:val="right"/>
            </w:pPr>
            <w:r>
              <w:t xml:space="preserve">62</w:t>
            </w:r>
          </w:p>
        </w:tc>
        <w:tc>
          <w:tcPr/>
          <w:p>
            <w:pPr>
              <w:pStyle w:val="Compact"/>
              <w:jc w:val="right"/>
            </w:pPr>
            <w:r>
              <w:t xml:space="preserve">0.31</w:t>
            </w:r>
          </w:p>
        </w:tc>
      </w:tr>
      <w:tr>
        <w:tc>
          <w:tcPr/>
          <w:p>
            <w:pPr>
              <w:pStyle w:val="Compact"/>
              <w:jc w:val="left"/>
            </w:pPr>
            <w:r>
              <w:t xml:space="preserve">Total energy use</w:t>
            </w:r>
          </w:p>
        </w:tc>
        <w:tc>
          <w:tcPr/>
          <w:p>
            <w:pPr>
              <w:pStyle w:val="Compact"/>
              <w:jc w:val="left"/>
            </w:pPr>
            <w:r>
              <w:t xml:space="preserve">Trend, not decoupled</w:t>
            </w:r>
          </w:p>
        </w:tc>
        <w:tc>
          <w:tcPr/>
          <w:p>
            <w:pPr>
              <w:pStyle w:val="Compact"/>
              <w:jc w:val="right"/>
            </w:pPr>
            <w:r>
              <w:t xml:space="preserve">115</w:t>
            </w:r>
          </w:p>
        </w:tc>
        <w:tc>
          <w:tcPr/>
          <w:p>
            <w:pPr>
              <w:pStyle w:val="Compact"/>
              <w:jc w:val="right"/>
            </w:pPr>
            <w:r>
              <w:t xml:space="preserve">0.58</w:t>
            </w:r>
          </w:p>
        </w:tc>
      </w:tr>
      <w:tr>
        <w:tc>
          <w:tcPr/>
          <w:p>
            <w:pPr>
              <w:pStyle w:val="Compact"/>
              <w:jc w:val="left"/>
            </w:pPr>
            <w:r>
              <w:t xml:space="preserve">Total energy use</w:t>
            </w:r>
          </w:p>
        </w:tc>
        <w:tc>
          <w:tcPr/>
          <w:p>
            <w:pPr>
              <w:pStyle w:val="Compact"/>
              <w:jc w:val="left"/>
            </w:pPr>
            <w:r>
              <w:t xml:space="preserve">Decoupled trend</w:t>
            </w:r>
          </w:p>
        </w:tc>
        <w:tc>
          <w:tcPr/>
          <w:p>
            <w:pPr>
              <w:pStyle w:val="Compact"/>
              <w:jc w:val="right"/>
            </w:pPr>
            <w:r>
              <w:t xml:space="preserve">22</w:t>
            </w:r>
          </w:p>
        </w:tc>
        <w:tc>
          <w:tcPr/>
          <w:p>
            <w:pPr>
              <w:pStyle w:val="Compact"/>
              <w:jc w:val="right"/>
            </w:pPr>
            <w:r>
              <w:t xml:space="preserve">0.11</w:t>
            </w:r>
          </w:p>
        </w:tc>
      </w:tr>
    </w:tbl>
    <w:p>
      <w:pPr>
        <w:pStyle w:val="BodyText"/>
      </w:pPr>
      <w:r>
        <w:rPr>
          <w:bCs/>
          <w:b/>
        </w:rPr>
        <w:t xml:space="preserve">Appendix S1 Table S1</w:t>
      </w:r>
      <w:r>
        <w:t xml:space="preserve">. Table of the number and proportion of routes whose dynamics for total biomass and total energy use are best described by the following syndromes: no directional change (intercept-only model, biomass ~ 1 or energy use ~ 1); a coupled trend (biomass ~ year or energy use ~ year); or a model with decoupled temporal trends for observed and individuals-driven dynamics (biomass ~ year * dynamics or energy use ~ year * dynamics, where dynamics refers to observed or null model, individuals-driven dynamics).</w:t>
      </w:r>
    </w:p>
    <w:p>
      <w:r>
        <w:br w:type="page"/>
      </w:r>
    </w:p>
    <w:bookmarkEnd w:id="28"/>
    <w:bookmarkStart w:id="29" w:name="appendix-s1-table-s2"/>
    <w:p>
      <w:pPr>
        <w:pStyle w:val="Heading1"/>
      </w:pPr>
      <w:r>
        <w:t xml:space="preserve">Appendix S1 Table S2</w:t>
      </w:r>
    </w:p>
    <w:tbl>
      <w:tblPr>
        <w:tblStyle w:val="Table"/>
        <w:tblW w:type="pct" w:w="5000"/>
        <w:tblLook w:firstRow="1" w:lastRow="0" w:firstColumn="0" w:lastColumn="0" w:noHBand="0" w:noVBand="0" w:val="0020"/>
      </w:tblPr>
      <w:tblGrid>
        <w:gridCol w:w="915"/>
        <w:gridCol w:w="2747"/>
        <w:gridCol w:w="2208"/>
        <w:gridCol w:w="2047"/>
      </w:tblGrid>
      <w:tr>
        <w:trPr>
          <w:tblHeader w:val="true"/>
        </w:trPr>
        <w:tc>
          <w:tcPr/>
          <w:p>
            <w:pPr>
              <w:pStyle w:val="Compact"/>
              <w:jc w:val="left"/>
            </w:pPr>
            <w:r>
              <w:t xml:space="preserve">Currency</w:t>
            </w:r>
          </w:p>
        </w:tc>
        <w:tc>
          <w:tcPr/>
          <w:p>
            <w:pPr>
              <w:pStyle w:val="Compact"/>
              <w:jc w:val="right"/>
            </w:pPr>
            <w:r>
              <w:t xml:space="preserve">Proportion of increasing individuals-driven trends</w:t>
            </w:r>
          </w:p>
        </w:tc>
        <w:tc>
          <w:tcPr/>
          <w:p>
            <w:pPr>
              <w:pStyle w:val="Compact"/>
              <w:jc w:val="right"/>
            </w:pPr>
            <w:r>
              <w:t xml:space="preserve">Proportion of increasing observed trends</w:t>
            </w:r>
          </w:p>
        </w:tc>
        <w:tc>
          <w:tcPr/>
          <w:p>
            <w:pPr>
              <w:pStyle w:val="Compact"/>
              <w:jc w:val="right"/>
            </w:pPr>
            <w:r>
              <w:t xml:space="preserve">Number of routes with temporal trends</w:t>
            </w:r>
          </w:p>
        </w:tc>
      </w:tr>
      <w:tr>
        <w:tc>
          <w:tcPr/>
          <w:p>
            <w:pPr>
              <w:pStyle w:val="Compact"/>
              <w:jc w:val="left"/>
            </w:pPr>
            <w:r>
              <w:t xml:space="preserve">Total biomass</w:t>
            </w:r>
          </w:p>
        </w:tc>
        <w:tc>
          <w:tcPr/>
          <w:p>
            <w:pPr>
              <w:pStyle w:val="Compact"/>
              <w:jc w:val="right"/>
            </w:pPr>
            <w:r>
              <w:t xml:space="preserve">0.28</w:t>
            </w:r>
          </w:p>
        </w:tc>
        <w:tc>
          <w:tcPr/>
          <w:p>
            <w:pPr>
              <w:pStyle w:val="Compact"/>
              <w:jc w:val="right"/>
            </w:pPr>
            <w:r>
              <w:t xml:space="preserve">0.50</w:t>
            </w:r>
          </w:p>
        </w:tc>
        <w:tc>
          <w:tcPr/>
          <w:p>
            <w:pPr>
              <w:pStyle w:val="Compact"/>
              <w:jc w:val="right"/>
            </w:pPr>
            <w:r>
              <w:t xml:space="preserve">141</w:t>
            </w:r>
          </w:p>
        </w:tc>
      </w:tr>
      <w:tr>
        <w:tc>
          <w:tcPr/>
          <w:p>
            <w:pPr>
              <w:pStyle w:val="Compact"/>
              <w:jc w:val="left"/>
            </w:pPr>
            <w:r>
              <w:t xml:space="preserve">Total energy use</w:t>
            </w:r>
          </w:p>
        </w:tc>
        <w:tc>
          <w:tcPr/>
          <w:p>
            <w:pPr>
              <w:pStyle w:val="Compact"/>
              <w:jc w:val="right"/>
            </w:pPr>
            <w:r>
              <w:t xml:space="preserve">0.24</w:t>
            </w:r>
          </w:p>
        </w:tc>
        <w:tc>
          <w:tcPr/>
          <w:p>
            <w:pPr>
              <w:pStyle w:val="Compact"/>
              <w:jc w:val="right"/>
            </w:pPr>
            <w:r>
              <w:t xml:space="preserve">0.31</w:t>
            </w:r>
          </w:p>
        </w:tc>
        <w:tc>
          <w:tcPr/>
          <w:p>
            <w:pPr>
              <w:pStyle w:val="Compact"/>
              <w:jc w:val="right"/>
            </w:pPr>
            <w:r>
              <w:t xml:space="preserve">137</w:t>
            </w:r>
          </w:p>
        </w:tc>
      </w:tr>
    </w:tbl>
    <w:p>
      <w:pPr>
        <w:pStyle w:val="BodyText"/>
      </w:pPr>
      <w:r>
        <w:rPr>
          <w:iCs/>
          <w:i/>
        </w:rPr>
        <w:t xml:space="preserve">Appendix S1 Table S2</w:t>
      </w:r>
      <w:r>
        <w:t xml:space="preserve">. The proportion of trends that are increasing (specifically, for which the ratio of the last fitted value to the first fitted value &gt; 1) for individuals-driven and observed dynamics, for routes exhibiting temporal trends (</w:t>
      </w:r>
      <w:r>
        <w:t xml:space="preserve">“</w:t>
      </w:r>
      <w:r>
        <w:t xml:space="preserve">coupled trends</w:t>
      </w:r>
      <w:r>
        <w:t xml:space="preserve">”</w:t>
      </w:r>
      <w:r>
        <w:t xml:space="preserve"> </w:t>
      </w:r>
      <w:r>
        <w:t xml:space="preserve">or</w:t>
      </w:r>
      <w:r>
        <w:t xml:space="preserve"> </w:t>
      </w:r>
      <w:r>
        <w:t xml:space="preserve">“</w:t>
      </w:r>
      <w:r>
        <w:t xml:space="preserve">decoupled trends</w:t>
      </w:r>
      <w:r>
        <w:t xml:space="preserve">”</w:t>
      </w:r>
      <w:r>
        <w:t xml:space="preserve">) in total biomass and total energy use. Trends that are not increasing are decreasing.</w:t>
      </w:r>
    </w:p>
    <w:p>
      <w:r>
        <w:br w:type="page"/>
      </w:r>
    </w:p>
    <w:bookmarkEnd w:id="29"/>
    <w:bookmarkStart w:id="30" w:name="appendix-s1-table-s3."/>
    <w:p>
      <w:pPr>
        <w:pStyle w:val="Heading1"/>
      </w:pPr>
      <w:r>
        <w:t xml:space="preserve">Appendix S1 Table S3.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Res.Df</w:t>
            </w:r>
          </w:p>
        </w:tc>
        <w:tc>
          <w:tcPr/>
          <w:p>
            <w:pPr>
              <w:pStyle w:val="Compact"/>
              <w:jc w:val="right"/>
            </w:pPr>
            <w:r>
              <w:t xml:space="preserve">RSS</w:t>
            </w:r>
          </w:p>
        </w:tc>
        <w:tc>
          <w:tcPr/>
          <w:p>
            <w:pPr>
              <w:pStyle w:val="Compact"/>
              <w:jc w:val="right"/>
            </w:pPr>
            <w:r>
              <w:t xml:space="preserve">Df</w:t>
            </w:r>
          </w:p>
        </w:tc>
        <w:tc>
          <w:tcPr/>
          <w:p>
            <w:pPr>
              <w:pStyle w:val="Compact"/>
              <w:jc w:val="right"/>
            </w:pPr>
            <w:r>
              <w:t xml:space="preserve">Sum of Sq</w:t>
            </w:r>
          </w:p>
        </w:tc>
        <w:tc>
          <w:tcPr/>
          <w:p>
            <w:pPr>
              <w:pStyle w:val="Compact"/>
              <w:jc w:val="right"/>
            </w:pPr>
            <w:r>
              <w:t xml:space="preserve">F</w:t>
            </w:r>
          </w:p>
        </w:tc>
        <w:tc>
          <w:tcPr/>
          <w:p>
            <w:pPr>
              <w:pStyle w:val="Compact"/>
              <w:jc w:val="right"/>
            </w:pPr>
            <w:r>
              <w:t xml:space="preserve">Pr(&gt;F)</w:t>
            </w:r>
          </w:p>
        </w:tc>
      </w:tr>
      <w:tr>
        <w:tc>
          <w:tcPr/>
          <w:p>
            <w:pPr>
              <w:pStyle w:val="Compact"/>
              <w:jc w:val="right"/>
            </w:pPr>
            <w:r>
              <w:t xml:space="preserve">196</w:t>
            </w:r>
          </w:p>
        </w:tc>
        <w:tc>
          <w:tcPr/>
          <w:p>
            <w:pPr>
              <w:pStyle w:val="Compact"/>
              <w:jc w:val="right"/>
            </w:pPr>
            <w:r>
              <w:t xml:space="preserve">5.993024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w:t>
            </w:r>
          </w:p>
        </w:tc>
        <w:tc>
          <w:tcPr/>
          <w:p>
            <w:pPr>
              <w:pStyle w:val="Compact"/>
              <w:jc w:val="right"/>
            </w:pPr>
            <w:r>
              <w:t xml:space="preserve">11.105203</w:t>
            </w:r>
          </w:p>
        </w:tc>
        <w:tc>
          <w:tcPr/>
          <w:p>
            <w:pPr>
              <w:pStyle w:val="Compact"/>
              <w:jc w:val="right"/>
            </w:pPr>
            <w:r>
              <w:t xml:space="preserve">-2</w:t>
            </w:r>
          </w:p>
        </w:tc>
        <w:tc>
          <w:tcPr/>
          <w:p>
            <w:pPr>
              <w:pStyle w:val="Compact"/>
              <w:jc w:val="right"/>
            </w:pPr>
            <w:r>
              <w:t xml:space="preserve">-5.11218</w:t>
            </w:r>
          </w:p>
        </w:tc>
        <w:tc>
          <w:tcPr/>
          <w:p>
            <w:pPr>
              <w:pStyle w:val="Compact"/>
              <w:jc w:val="right"/>
            </w:pPr>
            <w:r>
              <w:t xml:space="preserve">83.59613</w:t>
            </w:r>
          </w:p>
        </w:tc>
        <w:tc>
          <w:tcPr/>
          <w:p>
            <w:pPr>
              <w:pStyle w:val="Compact"/>
              <w:jc w:val="right"/>
            </w:pPr>
            <w:r>
              <w:t xml:space="preserve">0</w:t>
            </w:r>
          </w:p>
        </w:tc>
      </w:tr>
    </w:tbl>
    <w:p>
      <w:pPr>
        <w:pStyle w:val="BodyText"/>
      </w:pPr>
      <w:r>
        <w:rPr>
          <w:bCs/>
          <w:b/>
        </w:rPr>
        <w:t xml:space="preserve">Appendix S1 Table S3</w:t>
      </w:r>
      <w:r>
        <w:t xml:space="preserve">. ANOVA table comparing ordinary linear models of the form abs_log_ratio ~ syndrome and abs_log_ratio ~ 1.</w:t>
      </w:r>
    </w:p>
    <w:p>
      <w:r>
        <w:br w:type="page"/>
      </w:r>
    </w:p>
    <w:bookmarkEnd w:id="30"/>
    <w:bookmarkStart w:id="31" w:name="appendix-s1-table-s4."/>
    <w:p>
      <w:pPr>
        <w:pStyle w:val="Heading1"/>
      </w:pPr>
      <w:r>
        <w:t xml:space="preserve">Appendix S1 Table S4.</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categorical_fit</w:t>
            </w:r>
          </w:p>
        </w:tc>
        <w:tc>
          <w:tcPr/>
          <w:p>
            <w:pPr>
              <w:pStyle w:val="Compact"/>
              <w:jc w:val="right"/>
            </w:pPr>
            <w:r>
              <w:t xml:space="preserve">emmean</w:t>
            </w:r>
          </w:p>
        </w:tc>
        <w:tc>
          <w:tcPr/>
          <w:p>
            <w:pPr>
              <w:pStyle w:val="Compact"/>
              <w:jc w:val="right"/>
            </w:pPr>
            <w:r>
              <w:t xml:space="preserve">SE</w:t>
            </w:r>
          </w:p>
        </w:tc>
        <w:tc>
          <w:tcPr/>
          <w:p>
            <w:pPr>
              <w:pStyle w:val="Compact"/>
              <w:jc w:val="right"/>
            </w:pPr>
            <w:r>
              <w:t xml:space="preserve">df</w:t>
            </w:r>
          </w:p>
        </w:tc>
        <w:tc>
          <w:tcPr/>
          <w:p>
            <w:pPr>
              <w:pStyle w:val="Compact"/>
              <w:jc w:val="right"/>
            </w:pPr>
            <w:r>
              <w:t xml:space="preserve">lower.CL</w:t>
            </w:r>
          </w:p>
        </w:tc>
        <w:tc>
          <w:tcPr/>
          <w:p>
            <w:pPr>
              <w:pStyle w:val="Compact"/>
              <w:jc w:val="right"/>
            </w:pPr>
            <w:r>
              <w:t xml:space="preserve">upper.CL</w:t>
            </w:r>
          </w:p>
        </w:tc>
      </w:tr>
      <w:tr>
        <w:tc>
          <w:tcPr/>
          <w:p>
            <w:pPr>
              <w:pStyle w:val="Compact"/>
              <w:jc w:val="left"/>
            </w:pPr>
            <w:r>
              <w:t xml:space="preserve">Coupled trend</w:t>
            </w:r>
          </w:p>
        </w:tc>
        <w:tc>
          <w:tcPr/>
          <w:p>
            <w:pPr>
              <w:pStyle w:val="Compact"/>
              <w:jc w:val="right"/>
            </w:pPr>
            <w:r>
              <w:t xml:space="preserve">0.2084997</w:t>
            </w:r>
          </w:p>
        </w:tc>
        <w:tc>
          <w:tcPr/>
          <w:p>
            <w:pPr>
              <w:pStyle w:val="Compact"/>
              <w:jc w:val="right"/>
            </w:pPr>
            <w:r>
              <w:t xml:space="preserve">0.0188558</w:t>
            </w:r>
          </w:p>
        </w:tc>
        <w:tc>
          <w:tcPr/>
          <w:p>
            <w:pPr>
              <w:pStyle w:val="Compact"/>
              <w:jc w:val="right"/>
            </w:pPr>
            <w:r>
              <w:t xml:space="preserve">196</w:t>
            </w:r>
          </w:p>
        </w:tc>
        <w:tc>
          <w:tcPr/>
          <w:p>
            <w:pPr>
              <w:pStyle w:val="Compact"/>
              <w:jc w:val="right"/>
            </w:pPr>
            <w:r>
              <w:t xml:space="preserve">0.1713133</w:t>
            </w:r>
          </w:p>
        </w:tc>
        <w:tc>
          <w:tcPr/>
          <w:p>
            <w:pPr>
              <w:pStyle w:val="Compact"/>
              <w:jc w:val="right"/>
            </w:pPr>
            <w:r>
              <w:t xml:space="preserve">0.2456861</w:t>
            </w:r>
          </w:p>
        </w:tc>
      </w:tr>
      <w:tr>
        <w:tc>
          <w:tcPr/>
          <w:p>
            <w:pPr>
              <w:pStyle w:val="Compact"/>
              <w:jc w:val="left"/>
            </w:pPr>
            <w:r>
              <w:t xml:space="preserve">Decoupled trends</w:t>
            </w:r>
          </w:p>
        </w:tc>
        <w:tc>
          <w:tcPr/>
          <w:p>
            <w:pPr>
              <w:pStyle w:val="Compact"/>
              <w:jc w:val="right"/>
            </w:pPr>
            <w:r>
              <w:t xml:space="preserve">0.5779023</w:t>
            </w:r>
          </w:p>
        </w:tc>
        <w:tc>
          <w:tcPr/>
          <w:p>
            <w:pPr>
              <w:pStyle w:val="Compact"/>
              <w:jc w:val="right"/>
            </w:pPr>
            <w:r>
              <w:t xml:space="preserve">0.0235784</w:t>
            </w:r>
          </w:p>
        </w:tc>
        <w:tc>
          <w:tcPr/>
          <w:p>
            <w:pPr>
              <w:pStyle w:val="Compact"/>
              <w:jc w:val="right"/>
            </w:pPr>
            <w:r>
              <w:t xml:space="preserve">196</w:t>
            </w:r>
          </w:p>
        </w:tc>
        <w:tc>
          <w:tcPr/>
          <w:p>
            <w:pPr>
              <w:pStyle w:val="Compact"/>
              <w:jc w:val="right"/>
            </w:pPr>
            <w:r>
              <w:t xml:space="preserve">0.5314024</w:t>
            </w:r>
          </w:p>
        </w:tc>
        <w:tc>
          <w:tcPr/>
          <w:p>
            <w:pPr>
              <w:pStyle w:val="Compact"/>
              <w:jc w:val="right"/>
            </w:pPr>
            <w:r>
              <w:t xml:space="preserve">0.6244021</w:t>
            </w:r>
          </w:p>
        </w:tc>
      </w:tr>
      <w:tr>
        <w:tc>
          <w:tcPr/>
          <w:p>
            <w:pPr>
              <w:pStyle w:val="Compact"/>
              <w:jc w:val="left"/>
            </w:pPr>
            <w:r>
              <w:t xml:space="preserve">No trend</w:t>
            </w:r>
          </w:p>
        </w:tc>
        <w:tc>
          <w:tcPr/>
          <w:p>
            <w:pPr>
              <w:pStyle w:val="Compact"/>
              <w:jc w:val="right"/>
            </w:pPr>
            <w:r>
              <w:t xml:space="preserve">0.2385438</w:t>
            </w:r>
          </w:p>
        </w:tc>
        <w:tc>
          <w:tcPr/>
          <w:p>
            <w:pPr>
              <w:pStyle w:val="Compact"/>
              <w:jc w:val="right"/>
            </w:pPr>
            <w:r>
              <w:t xml:space="preserve">0.0229605</w:t>
            </w:r>
          </w:p>
        </w:tc>
        <w:tc>
          <w:tcPr/>
          <w:p>
            <w:pPr>
              <w:pStyle w:val="Compact"/>
              <w:jc w:val="right"/>
            </w:pPr>
            <w:r>
              <w:t xml:space="preserve">196</w:t>
            </w:r>
          </w:p>
        </w:tc>
        <w:tc>
          <w:tcPr/>
          <w:p>
            <w:pPr>
              <w:pStyle w:val="Compact"/>
              <w:jc w:val="right"/>
            </w:pPr>
            <w:r>
              <w:t xml:space="preserve">0.1932625</w:t>
            </w:r>
          </w:p>
        </w:tc>
        <w:tc>
          <w:tcPr/>
          <w:p>
            <w:pPr>
              <w:pStyle w:val="Compact"/>
              <w:jc w:val="right"/>
            </w:pPr>
            <w:r>
              <w:t xml:space="preserve">0.2838251</w:t>
            </w:r>
          </w:p>
        </w:tc>
      </w:tr>
    </w:tbl>
    <w:p>
      <w:pPr>
        <w:pStyle w:val="BodyText"/>
      </w:pPr>
      <w:r>
        <w:rPr>
          <w:bCs/>
          <w:b/>
        </w:rPr>
        <w:t xml:space="preserve">Appendix S1 Table S4.</w:t>
      </w:r>
      <w:r>
        <w:t xml:space="preserve"> </w:t>
      </w:r>
      <w:r>
        <w:t xml:space="preserve">Estimates (calculated using emmeans</w:t>
      </w:r>
      <w:r>
        <w:t xml:space="preserve"> </w:t>
      </w:r>
      <w:r>
        <w:t xml:space="preserve">(Lenth 2021)</w:t>
      </w:r>
      <w:r>
        <w:t xml:space="preserve">) for the mean absolute log ratio of mean mass for routes whose dynamics for biomass were best-described by different syndromes of change.</w:t>
      </w:r>
    </w:p>
    <w:p>
      <w:r>
        <w:br w:type="page"/>
      </w:r>
    </w:p>
    <w:bookmarkEnd w:id="31"/>
    <w:bookmarkStart w:id="32" w:name="appendix-s1-table-s5"/>
    <w:p>
      <w:pPr>
        <w:pStyle w:val="Heading1"/>
      </w:pPr>
      <w:r>
        <w:t xml:space="preserve">Appendix S1 Table S5</w:t>
      </w:r>
    </w:p>
    <w:tbl>
      <w:tblPr>
        <w:tblStyle w:val="Table"/>
        <w:tblW w:type="pct" w:w="5000"/>
        <w:tblLook w:firstRow="1" w:lastRow="0" w:firstColumn="0" w:lastColumn="0" w:noHBand="0" w:noVBand="0" w:val="0020"/>
      </w:tblPr>
      <w:tblGrid>
        <w:gridCol w:w="3308"/>
        <w:gridCol w:w="1102"/>
        <w:gridCol w:w="1002"/>
        <w:gridCol w:w="401"/>
        <w:gridCol w:w="1102"/>
        <w:gridCol w:w="1002"/>
      </w:tblGrid>
      <w:tr>
        <w:trPr>
          <w:tblHeader w:val="true"/>
        </w:trPr>
        <w:tc>
          <w:tcPr/>
          <w:p>
            <w:pPr>
              <w:pStyle w:val="Compact"/>
              <w:jc w:val="left"/>
            </w:pPr>
            <w:r>
              <w:t xml:space="preserve">contrast</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df</w:t>
            </w:r>
          </w:p>
        </w:tc>
        <w:tc>
          <w:tcPr/>
          <w:p>
            <w:pPr>
              <w:pStyle w:val="Compact"/>
              <w:jc w:val="right"/>
            </w:pPr>
            <w:r>
              <w:t xml:space="preserve">t.ratio</w:t>
            </w:r>
          </w:p>
        </w:tc>
        <w:tc>
          <w:tcPr/>
          <w:p>
            <w:pPr>
              <w:pStyle w:val="Compact"/>
              <w:jc w:val="right"/>
            </w:pPr>
            <w:r>
              <w:t xml:space="preserve">p.value</w:t>
            </w:r>
          </w:p>
        </w:tc>
      </w:tr>
      <w:tr>
        <w:tc>
          <w:tcPr/>
          <w:p>
            <w:pPr>
              <w:pStyle w:val="Compact"/>
              <w:jc w:val="left"/>
            </w:pPr>
            <w:r>
              <w:t xml:space="preserve">Coupled trend - Decoupled trends</w:t>
            </w:r>
          </w:p>
        </w:tc>
        <w:tc>
          <w:tcPr/>
          <w:p>
            <w:pPr>
              <w:pStyle w:val="Compact"/>
              <w:jc w:val="right"/>
            </w:pPr>
            <w:r>
              <w:t xml:space="preserve">-0.3694026</w:t>
            </w:r>
          </w:p>
        </w:tc>
        <w:tc>
          <w:tcPr/>
          <w:p>
            <w:pPr>
              <w:pStyle w:val="Compact"/>
              <w:jc w:val="right"/>
            </w:pPr>
            <w:r>
              <w:t xml:space="preserve">0.0301908</w:t>
            </w:r>
          </w:p>
        </w:tc>
        <w:tc>
          <w:tcPr/>
          <w:p>
            <w:pPr>
              <w:pStyle w:val="Compact"/>
              <w:jc w:val="right"/>
            </w:pPr>
            <w:r>
              <w:t xml:space="preserve">196</w:t>
            </w:r>
          </w:p>
        </w:tc>
        <w:tc>
          <w:tcPr/>
          <w:p>
            <w:pPr>
              <w:pStyle w:val="Compact"/>
              <w:jc w:val="right"/>
            </w:pPr>
            <w:r>
              <w:t xml:space="preserve">-12.235620</w:t>
            </w:r>
          </w:p>
        </w:tc>
        <w:tc>
          <w:tcPr/>
          <w:p>
            <w:pPr>
              <w:pStyle w:val="Compact"/>
              <w:jc w:val="right"/>
            </w:pPr>
            <w:r>
              <w:t xml:space="preserve">0.0000000</w:t>
            </w:r>
          </w:p>
        </w:tc>
      </w:tr>
      <w:tr>
        <w:tc>
          <w:tcPr/>
          <w:p>
            <w:pPr>
              <w:pStyle w:val="Compact"/>
              <w:jc w:val="left"/>
            </w:pPr>
            <w:r>
              <w:t xml:space="preserve">Coupled trend - No trend</w:t>
            </w:r>
          </w:p>
        </w:tc>
        <w:tc>
          <w:tcPr/>
          <w:p>
            <w:pPr>
              <w:pStyle w:val="Compact"/>
              <w:jc w:val="right"/>
            </w:pPr>
            <w:r>
              <w:t xml:space="preserve">-0.0300441</w:t>
            </w:r>
          </w:p>
        </w:tc>
        <w:tc>
          <w:tcPr/>
          <w:p>
            <w:pPr>
              <w:pStyle w:val="Compact"/>
              <w:jc w:val="right"/>
            </w:pPr>
            <w:r>
              <w:t xml:space="preserve">0.0297107</w:t>
            </w:r>
          </w:p>
        </w:tc>
        <w:tc>
          <w:tcPr/>
          <w:p>
            <w:pPr>
              <w:pStyle w:val="Compact"/>
              <w:jc w:val="right"/>
            </w:pPr>
            <w:r>
              <w:t xml:space="preserve">196</w:t>
            </w:r>
          </w:p>
        </w:tc>
        <w:tc>
          <w:tcPr/>
          <w:p>
            <w:pPr>
              <w:pStyle w:val="Compact"/>
              <w:jc w:val="right"/>
            </w:pPr>
            <w:r>
              <w:t xml:space="preserve">-1.011221</w:t>
            </w:r>
          </w:p>
        </w:tc>
        <w:tc>
          <w:tcPr/>
          <w:p>
            <w:pPr>
              <w:pStyle w:val="Compact"/>
              <w:jc w:val="right"/>
            </w:pPr>
            <w:r>
              <w:t xml:space="preserve">0.5706639</w:t>
            </w:r>
          </w:p>
        </w:tc>
      </w:tr>
      <w:tr>
        <w:tc>
          <w:tcPr/>
          <w:p>
            <w:pPr>
              <w:pStyle w:val="Compact"/>
              <w:jc w:val="left"/>
            </w:pPr>
            <w:r>
              <w:t xml:space="preserve">Decoupled trends - No trend</w:t>
            </w:r>
          </w:p>
        </w:tc>
        <w:tc>
          <w:tcPr/>
          <w:p>
            <w:pPr>
              <w:pStyle w:val="Compact"/>
              <w:jc w:val="right"/>
            </w:pPr>
            <w:r>
              <w:t xml:space="preserve">0.3393585</w:t>
            </w:r>
          </w:p>
        </w:tc>
        <w:tc>
          <w:tcPr/>
          <w:p>
            <w:pPr>
              <w:pStyle w:val="Compact"/>
              <w:jc w:val="right"/>
            </w:pPr>
            <w:r>
              <w:t xml:space="preserve">0.0329108</w:t>
            </w:r>
          </w:p>
        </w:tc>
        <w:tc>
          <w:tcPr/>
          <w:p>
            <w:pPr>
              <w:pStyle w:val="Compact"/>
              <w:jc w:val="right"/>
            </w:pPr>
            <w:r>
              <w:t xml:space="preserve">196</w:t>
            </w:r>
          </w:p>
        </w:tc>
        <w:tc>
          <w:tcPr/>
          <w:p>
            <w:pPr>
              <w:pStyle w:val="Compact"/>
              <w:jc w:val="right"/>
            </w:pPr>
            <w:r>
              <w:t xml:space="preserve">10.311453</w:t>
            </w:r>
          </w:p>
        </w:tc>
        <w:tc>
          <w:tcPr/>
          <w:p>
            <w:pPr>
              <w:pStyle w:val="Compact"/>
              <w:jc w:val="right"/>
            </w:pPr>
            <w:r>
              <w:t xml:space="preserve">0.0000000</w:t>
            </w:r>
          </w:p>
        </w:tc>
      </w:tr>
    </w:tbl>
    <w:p>
      <w:pPr>
        <w:pStyle w:val="BodyText"/>
      </w:pPr>
      <w:r>
        <w:rPr>
          <w:bCs/>
          <w:b/>
        </w:rPr>
        <w:t xml:space="preserve">Appendix S1 Table S5</w:t>
      </w:r>
      <w:r>
        <w:t xml:space="preserve">. Contrasts for absolute log ratio of mean mass, calculated using emmeans</w:t>
      </w:r>
      <w:r>
        <w:t xml:space="preserve"> </w:t>
      </w:r>
      <w:r>
        <w:t xml:space="preserve">(Lenth 2021)</w:t>
      </w:r>
      <w:r>
        <w:t xml:space="preserve">.</w:t>
      </w:r>
    </w:p>
    <w:p>
      <w:r>
        <w:br w:type="page"/>
      </w:r>
    </w:p>
    <w:bookmarkEnd w:id="32"/>
    <w:bookmarkStart w:id="33" w:name="appendix-s1-table-s6"/>
    <w:p>
      <w:pPr>
        <w:pStyle w:val="Heading1"/>
      </w:pPr>
      <w:r>
        <w:t xml:space="preserve">Appendix S1 Table S6</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Resid. Df</w:t>
            </w:r>
          </w:p>
        </w:tc>
        <w:tc>
          <w:tcPr/>
          <w:p>
            <w:pPr>
              <w:pStyle w:val="Compact"/>
              <w:jc w:val="right"/>
            </w:pPr>
            <w:r>
              <w:t xml:space="preserve">Resid.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Pr(&gt;Chi)</w:t>
            </w:r>
          </w:p>
        </w:tc>
      </w:tr>
      <w:tr>
        <w:tc>
          <w:tcPr/>
          <w:p>
            <w:pPr>
              <w:pStyle w:val="Compact"/>
              <w:jc w:val="right"/>
            </w:pPr>
            <w:r>
              <w:t xml:space="preserve">196</w:t>
            </w:r>
          </w:p>
        </w:tc>
        <w:tc>
          <w:tcPr/>
          <w:p>
            <w:pPr>
              <w:pStyle w:val="Compact"/>
              <w:jc w:val="right"/>
            </w:pPr>
            <w:r>
              <w:t xml:space="preserve">4.053082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w:t>
            </w:r>
          </w:p>
        </w:tc>
        <w:tc>
          <w:tcPr/>
          <w:p>
            <w:pPr>
              <w:pStyle w:val="Compact"/>
              <w:jc w:val="right"/>
            </w:pPr>
            <w:r>
              <w:t xml:space="preserve">4.253015</w:t>
            </w:r>
          </w:p>
        </w:tc>
        <w:tc>
          <w:tcPr/>
          <w:p>
            <w:pPr>
              <w:pStyle w:val="Compact"/>
              <w:jc w:val="right"/>
            </w:pPr>
            <w:r>
              <w:t xml:space="preserve">-2</w:t>
            </w:r>
          </w:p>
        </w:tc>
        <w:tc>
          <w:tcPr/>
          <w:p>
            <w:pPr>
              <w:pStyle w:val="Compact"/>
              <w:jc w:val="right"/>
            </w:pPr>
            <w:r>
              <w:t xml:space="preserve">-0.1999328</w:t>
            </w:r>
          </w:p>
        </w:tc>
        <w:tc>
          <w:tcPr/>
          <w:p>
            <w:pPr>
              <w:pStyle w:val="Compact"/>
              <w:jc w:val="right"/>
            </w:pPr>
            <w:r>
              <w:t xml:space="preserve">0.9048678</w:t>
            </w:r>
          </w:p>
        </w:tc>
      </w:tr>
    </w:tbl>
    <w:p>
      <w:pPr>
        <w:pStyle w:val="BodyText"/>
      </w:pPr>
      <w:r>
        <w:rPr>
          <w:iCs/>
          <w:i/>
        </w:rPr>
        <w:t xml:space="preserve">Appendix S1 Table S6</w:t>
      </w:r>
      <w:r>
        <w:t xml:space="preserve">. ANOVA table comparing binomial generalized linear models of the form ISD_turnover ~ syndrome and ISD_turnover ~ 1.</w:t>
      </w:r>
    </w:p>
    <w:p>
      <w:r>
        <w:br w:type="page"/>
      </w:r>
    </w:p>
    <w:bookmarkEnd w:id="33"/>
    <w:bookmarkStart w:id="34" w:name="appendix-s1-table-s7."/>
    <w:p>
      <w:pPr>
        <w:pStyle w:val="Heading1"/>
      </w:pPr>
      <w:r>
        <w:t xml:space="preserve">Appendix S1 Table S7.</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Resid. Df</w:t>
            </w:r>
          </w:p>
        </w:tc>
        <w:tc>
          <w:tcPr/>
          <w:p>
            <w:pPr>
              <w:pStyle w:val="Compact"/>
              <w:jc w:val="right"/>
            </w:pPr>
            <w:r>
              <w:t xml:space="preserve">Resid.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Pr(&gt;Chi)</w:t>
            </w:r>
          </w:p>
        </w:tc>
      </w:tr>
      <w:tr>
        <w:tc>
          <w:tcPr/>
          <w:p>
            <w:pPr>
              <w:pStyle w:val="Compact"/>
              <w:jc w:val="right"/>
            </w:pPr>
            <w:r>
              <w:t xml:space="preserve">196</w:t>
            </w:r>
          </w:p>
        </w:tc>
        <w:tc>
          <w:tcPr/>
          <w:p>
            <w:pPr>
              <w:pStyle w:val="Compact"/>
              <w:jc w:val="right"/>
            </w:pPr>
            <w:r>
              <w:t xml:space="preserve">4.455349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w:t>
            </w:r>
          </w:p>
        </w:tc>
        <w:tc>
          <w:tcPr/>
          <w:p>
            <w:pPr>
              <w:pStyle w:val="Compact"/>
              <w:jc w:val="right"/>
            </w:pPr>
            <w:r>
              <w:t xml:space="preserve">5.044039</w:t>
            </w:r>
          </w:p>
        </w:tc>
        <w:tc>
          <w:tcPr/>
          <w:p>
            <w:pPr>
              <w:pStyle w:val="Compact"/>
              <w:jc w:val="right"/>
            </w:pPr>
            <w:r>
              <w:t xml:space="preserve">-2</w:t>
            </w:r>
          </w:p>
        </w:tc>
        <w:tc>
          <w:tcPr/>
          <w:p>
            <w:pPr>
              <w:pStyle w:val="Compact"/>
              <w:jc w:val="right"/>
            </w:pPr>
            <w:r>
              <w:t xml:space="preserve">-0.5886892</w:t>
            </w:r>
          </w:p>
        </w:tc>
        <w:tc>
          <w:tcPr/>
          <w:p>
            <w:pPr>
              <w:pStyle w:val="Compact"/>
              <w:jc w:val="right"/>
            </w:pPr>
            <w:r>
              <w:t xml:space="preserve">0.7450197</w:t>
            </w:r>
          </w:p>
        </w:tc>
      </w:tr>
    </w:tbl>
    <w:p>
      <w:pPr>
        <w:pStyle w:val="BodyText"/>
      </w:pPr>
      <w:r>
        <w:rPr>
          <w:bCs/>
          <w:b/>
        </w:rPr>
        <w:t xml:space="preserve">Appendix S1 Table S7</w:t>
      </w:r>
      <w:r>
        <w:t xml:space="preserve">. ANOVA table comparing binomial generalized linear models of the form Bray_Curtis_dissimilarity ~ syndrome and Bray_Curtis_dissimilarity ~ 1.</w:t>
      </w:r>
    </w:p>
    <w:p>
      <w:r>
        <w:br w:type="page"/>
      </w:r>
    </w:p>
    <w:bookmarkEnd w:id="34"/>
    <w:bookmarkStart w:id="37" w:name="references"/>
    <w:p>
      <w:pPr>
        <w:pStyle w:val="Heading1"/>
      </w:pPr>
      <w:r>
        <w:t xml:space="preserve">References</w:t>
      </w:r>
    </w:p>
    <w:bookmarkStart w:id="36" w:name="refs"/>
    <w:bookmarkStart w:id="35" w:name="ref-lenth2021"/>
    <w:p>
      <w:pPr>
        <w:pStyle w:val="Bibliography"/>
      </w:pPr>
      <w:r>
        <w:t xml:space="preserve">Lenth, R. V. 2021. Emmeans:</w:t>
      </w:r>
      <w:r>
        <w:t xml:space="preserve"> </w:t>
      </w:r>
      <w:r>
        <w:t xml:space="preserve">Estimated Marginal Means</w:t>
      </w:r>
      <w:r>
        <w:t xml:space="preserve">, aka</w:t>
      </w:r>
      <w:r>
        <w:t xml:space="preserve"> </w:t>
      </w:r>
      <w:r>
        <w:t xml:space="preserve">Least-Squares Means</w:t>
      </w:r>
      <w:r>
        <w:t xml:space="preserve">.</w:t>
      </w:r>
    </w:p>
    <w:bookmarkEnd w:id="35"/>
    <w:bookmarkEnd w:id="36"/>
    <w:bookmarkEnd w:id="37"/>
    <w:sectPr w:rsidR="00BC0F0B" w:rsidRPr="00F277A7">
      <w:pgSz w:h="15840" w:w="12240"/>
      <w:pgMar w:bottom="1440" w:footer="720" w:gutter="0" w:header="72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en-US" w:val="en"/>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277A7"/>
    <w:pPr>
      <w:spacing w:after="120" w:before="120" w:line="480" w:lineRule="auto"/>
    </w:pPr>
    <w:rPr>
      <w:rFonts w:ascii="Times New Roman" w:cs="Times New Roman" w:hAnsi="Times New Roman"/>
      <w:sz w:val="24"/>
      <w:szCs w:val="24"/>
    </w:rPr>
  </w:style>
  <w:style w:styleId="Heading1" w:type="paragraph">
    <w:name w:val="heading 1"/>
    <w:basedOn w:val="Normal"/>
    <w:next w:val="Normal"/>
    <w:uiPriority w:val="9"/>
    <w:qFormat/>
    <w:rsid w:val="00C9745C"/>
    <w:pPr>
      <w:keepNext/>
      <w:keepLines/>
      <w:spacing w:after="240" w:line="240" w:lineRule="auto"/>
      <w:outlineLvl w:val="0"/>
    </w:pPr>
    <w:rPr>
      <w:b/>
    </w:rPr>
  </w:style>
  <w:style w:styleId="Heading2" w:type="paragraph">
    <w:name w:val="heading 2"/>
    <w:basedOn w:val="Normal"/>
    <w:next w:val="Normal"/>
    <w:uiPriority w:val="9"/>
    <w:semiHidden/>
    <w:unhideWhenUsed/>
    <w:qFormat/>
    <w:pPr>
      <w:keepNext/>
      <w:keepLines/>
      <w:outlineLvl w:val="1"/>
    </w:pPr>
    <w:rPr>
      <w:b/>
    </w:rPr>
  </w:style>
  <w:style w:styleId="Heading3" w:type="paragraph">
    <w:name w:val="heading 3"/>
    <w:basedOn w:val="Normal"/>
    <w:next w:val="Normal"/>
    <w:uiPriority w:val="9"/>
    <w:semiHidden/>
    <w:unhideWhenUsed/>
    <w:qFormat/>
    <w:pPr>
      <w:keepNext/>
      <w:keepLines/>
      <w:outlineLvl w:val="2"/>
    </w:pPr>
    <w:rPr>
      <w:i/>
    </w:rPr>
  </w:style>
  <w:style w:styleId="Heading4" w:type="paragraph">
    <w:name w:val="heading 4"/>
    <w:basedOn w:val="Normal"/>
    <w:next w:val="Normal"/>
    <w:uiPriority w:val="9"/>
    <w:semiHidden/>
    <w:unhideWhenUsed/>
    <w:qFormat/>
    <w:pPr>
      <w:keepNext/>
      <w:keepLines/>
      <w:spacing w:after="80" w:before="280"/>
      <w:outlineLvl w:val="3"/>
    </w:pPr>
    <w:rPr>
      <w:color w:val="666666"/>
    </w:rPr>
  </w:style>
  <w:style w:styleId="Heading5" w:type="paragraph">
    <w:name w:val="heading 5"/>
    <w:basedOn w:val="Normal"/>
    <w:next w:val="Normal"/>
    <w:uiPriority w:val="9"/>
    <w:semiHidden/>
    <w:unhideWhenUsed/>
    <w:qFormat/>
    <w:pPr>
      <w:keepNext/>
      <w:keepLines/>
      <w:spacing w:after="80" w:before="240"/>
      <w:outlineLvl w:val="4"/>
    </w:pPr>
    <w:rPr>
      <w:color w:val="666666"/>
    </w:rPr>
  </w:style>
  <w:style w:styleId="Heading6" w:type="paragraph">
    <w:name w:val="heading 6"/>
    <w:basedOn w:val="Normal"/>
    <w:next w:val="Normal"/>
    <w:uiPriority w:val="9"/>
    <w:semiHidden/>
    <w:unhideWhenUsed/>
    <w:qFormat/>
    <w:pPr>
      <w:keepNext/>
      <w:keepLines/>
      <w:spacing w:after="80" w:before="240"/>
      <w:outlineLvl w:val="5"/>
    </w:pPr>
    <w:rPr>
      <w:i/>
      <w:color w:val="66666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0"/>
    </w:pPr>
    <w:rPr>
      <w:sz w:val="52"/>
      <w:szCs w:val="52"/>
    </w:rPr>
  </w:style>
  <w:style w:styleId="Subtitle" w:type="paragraph">
    <w:name w:val="Subtitle"/>
    <w:basedOn w:val="Normal"/>
    <w:next w:val="Normal"/>
    <w:uiPriority w:val="11"/>
    <w:qFormat/>
    <w:pPr>
      <w:keepNext/>
      <w:keepLines/>
      <w:spacing w:after="320" w:before="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dc:title>
  <dc:creator>Figures and tables from the main analysis, restricted to 199 routes with perfect temporal coverage (i.e. no missing time steps). All results are qualitatively the same as for the main analysis (739 routes, with a minimum of 27 of 30 time steps sampled for each route).</dc:creator>
  <cp:keywords/>
  <dcterms:created xsi:type="dcterms:W3CDTF">2022-11-04T19:05:46Z</dcterms:created>
  <dcterms:modified xsi:type="dcterms:W3CDTF">2022-11-04T19:05:46Z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ref_template.csl</vt:lpwstr>
  </property>
  <property fmtid="{D5CDD505-2E9C-101B-9397-08002B2CF9AE}" pid="4" name="output">
    <vt:lpwstr/>
  </property>
</Properties>
</file>