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38C100B6" w14:textId="2E1BDB91" w:rsidR="009D1CF2" w:rsidRDefault="009D1CF2" w:rsidP="00A642E9">
      <w:r>
        <w:rPr>
          <w:b/>
          <w:bCs/>
        </w:rPr>
        <w:t xml:space="preserve">Running title: </w:t>
      </w:r>
      <w:r>
        <w:t>Size shifts of North American bird communities</w:t>
      </w:r>
    </w:p>
    <w:p w14:paraId="7DC3040B" w14:textId="77777777" w:rsidR="009D1CF2" w:rsidRDefault="009D1CF2">
      <w:pPr>
        <w:spacing w:before="0" w:after="0" w:line="276" w:lineRule="auto"/>
      </w:pPr>
      <w:r>
        <w:br w:type="page"/>
      </w:r>
    </w:p>
    <w:p w14:paraId="4C6086B0" w14:textId="7A104F19" w:rsidR="009D1CF2" w:rsidRPr="009D1CF2" w:rsidRDefault="009D1CF2" w:rsidP="00EB2C50">
      <w:pPr>
        <w:pStyle w:val="Heading1"/>
      </w:pPr>
      <w:r>
        <w:lastRenderedPageBreak/>
        <w:t>Abstract</w:t>
      </w:r>
    </w:p>
    <w:p w14:paraId="1CE8C286" w14:textId="4103FEDC" w:rsidR="00EB2C50" w:rsidRDefault="00EB2C50" w:rsidP="00EB2C50">
      <w:pPr>
        <w:pStyle w:val="Heading2"/>
      </w:pPr>
      <w:r>
        <w:t>Aim:</w:t>
      </w:r>
      <w:r w:rsidR="000B6CE3">
        <w:t xml:space="preserve"> </w:t>
      </w:r>
    </w:p>
    <w:p w14:paraId="51551A15" w14:textId="61133ACE" w:rsidR="000B6CE3" w:rsidRPr="000B6CE3" w:rsidRDefault="009F5729" w:rsidP="000B6CE3">
      <w:r>
        <w:t>A</w:t>
      </w:r>
      <w:r w:rsidR="00263E20">
        <w:t xml:space="preserve"> core objective of</w:t>
      </w:r>
      <w:r>
        <w:t xml:space="preserve"> contemporary</w:t>
      </w:r>
      <w:r w:rsidR="00263E20">
        <w:t xml:space="preserve"> biodiversity science is to understand long-term trends in the structure and function of ecological communities. Different </w:t>
      </w:r>
      <w:r w:rsidR="0064311B">
        <w:t>currencies</w:t>
      </w:r>
      <w:r w:rsidR="00263E20">
        <w:t xml:space="preserve"> of ecological function – specifically, total abundance, total standing biomass, and total metabolic flux – are naturally linked, but may </w:t>
      </w:r>
      <w:r w:rsidR="0064311B">
        <w:t>become decoupled</w:t>
      </w:r>
      <w:r w:rsidR="00263E20">
        <w:t xml:space="preserve"> if the underlying size structure of a system changes. Here, we seek to</w:t>
      </w:r>
      <w:r w:rsidR="000B6CE3">
        <w:t xml:space="preserve"> establish how changes in community size composition modulate long-term relationships between </w:t>
      </w:r>
      <w:r w:rsidR="0064311B">
        <w:t>different currencies of ecological function</w:t>
      </w:r>
      <w:r w:rsidR="000B6CE3">
        <w:t xml:space="preserve"> for North American birds. </w:t>
      </w:r>
    </w:p>
    <w:p w14:paraId="54053240" w14:textId="13C9C22D" w:rsidR="00EB2C50" w:rsidRDefault="00EB2C50" w:rsidP="00EB2C50">
      <w:pPr>
        <w:pStyle w:val="Heading2"/>
      </w:pPr>
      <w:r>
        <w:t>Location:</w:t>
      </w:r>
      <w:r w:rsidR="000B6CE3">
        <w:t xml:space="preserve"> </w:t>
      </w:r>
    </w:p>
    <w:p w14:paraId="3E2AF677" w14:textId="76AF3DC9" w:rsidR="000B6CE3" w:rsidRPr="000B6CE3" w:rsidRDefault="000B6CE3" w:rsidP="000B6CE3">
      <w:r>
        <w:t>North America, north of Mexico.</w:t>
      </w:r>
    </w:p>
    <w:p w14:paraId="0B913849" w14:textId="6CB23F3B" w:rsidR="00EB2C50" w:rsidRDefault="00EB2C50" w:rsidP="00EB2C50">
      <w:pPr>
        <w:pStyle w:val="Heading2"/>
      </w:pPr>
      <w:r>
        <w:t>Time period:</w:t>
      </w:r>
    </w:p>
    <w:p w14:paraId="0D30AD74" w14:textId="08565F29" w:rsidR="000B6CE3" w:rsidRPr="000B6CE3" w:rsidRDefault="000B6CE3" w:rsidP="000B6CE3">
      <w:r>
        <w:t>1988-2018.</w:t>
      </w:r>
    </w:p>
    <w:p w14:paraId="7872B5E8" w14:textId="766A6E43" w:rsidR="00EB2C50" w:rsidRDefault="00EB2C50" w:rsidP="00EB2C50">
      <w:pPr>
        <w:pStyle w:val="Heading2"/>
      </w:pPr>
      <w:r>
        <w:t>Major taxa studied:</w:t>
      </w:r>
    </w:p>
    <w:p w14:paraId="6C14E8A3" w14:textId="02E5B4D9" w:rsidR="000B6CE3" w:rsidRPr="000B6CE3" w:rsidRDefault="000B6CE3" w:rsidP="000B6CE3">
      <w:r>
        <w:t>Breeding birds.</w:t>
      </w:r>
    </w:p>
    <w:p w14:paraId="430B8E04" w14:textId="537B9828" w:rsidR="00EB2C50" w:rsidRDefault="00EB2C50" w:rsidP="00EB2C50">
      <w:pPr>
        <w:pStyle w:val="Heading2"/>
      </w:pPr>
      <w:r>
        <w:t>Methods:</w:t>
      </w:r>
    </w:p>
    <w:p w14:paraId="478906A1" w14:textId="54E5BE76" w:rsidR="00700E25" w:rsidRPr="00700E25" w:rsidRDefault="00700E25" w:rsidP="00700E25">
      <w:r>
        <w:t>We used species’ traits and allometric scaling to estimate individual size measurements and basal metabolic rate for birds observed in the North American Breeding Bird Survey. We compared the long-term trajectories for community-wide standing biomass and energy use</w:t>
      </w:r>
      <w:r w:rsidR="00AF5610">
        <w:t xml:space="preserve"> </w:t>
      </w:r>
      <w:r>
        <w:t>to the long-term trends driven by changes in individual abundance alone. Finally, we used dissimilarity metrics to evaluate the link between changes in species and size composition and changes in the relationship between abundance- and size-driven dynamics.</w:t>
      </w:r>
    </w:p>
    <w:p w14:paraId="4FCB1C6B" w14:textId="5EC2D8CB" w:rsidR="00EB2C50" w:rsidRDefault="00EB2C50" w:rsidP="00EB2C50">
      <w:pPr>
        <w:pStyle w:val="Heading2"/>
      </w:pPr>
      <w:r>
        <w:lastRenderedPageBreak/>
        <w:t>Results:</w:t>
      </w:r>
      <w:r w:rsidR="00CB04F7">
        <w:t xml:space="preserve"> </w:t>
      </w:r>
    </w:p>
    <w:p w14:paraId="7403D183" w14:textId="24EC04DD" w:rsidR="00A240E8" w:rsidRPr="00A240E8" w:rsidRDefault="00A240E8" w:rsidP="00A240E8">
      <w:r>
        <w:t>For a substantial minority of communities, shifts in community size composition have decoupled the long-term dynamics of biomass, energy use, and individual abundance. While trends in abundance were dominated by decreases, trends in biomass were evenly divided between decreases and increases, and trends in energy use featured more increases than expected given changes in abundance alone. Communities with decoupled dynamics showed</w:t>
      </w:r>
      <w:r w:rsidR="006748F2">
        <w:t xml:space="preserve"> greater</w:t>
      </w:r>
      <w:r>
        <w:t xml:space="preserve"> increases in community-wide mean body size</w:t>
      </w:r>
      <w:r w:rsidR="006748F2">
        <w:t xml:space="preserve"> than other </w:t>
      </w:r>
      <w:proofErr w:type="gramStart"/>
      <w:r w:rsidR="006748F2">
        <w:t>communities</w:t>
      </w:r>
      <w:r>
        <w:t>, but</w:t>
      </w:r>
      <w:proofErr w:type="gramEnd"/>
      <w:r>
        <w:t xml:space="preserve"> did not differ from other communities in overall turnover in </w:t>
      </w:r>
      <w:r w:rsidR="007F307A">
        <w:t xml:space="preserve">species or size </w:t>
      </w:r>
      <w:r>
        <w:t xml:space="preserve">composition. </w:t>
      </w:r>
    </w:p>
    <w:p w14:paraId="05CF3A12" w14:textId="281A3B08" w:rsidR="00EB2C50" w:rsidRDefault="00EB2C50" w:rsidP="00EB2C50">
      <w:pPr>
        <w:pStyle w:val="Heading2"/>
      </w:pPr>
      <w:r>
        <w:t>Main conclusions:</w:t>
      </w:r>
      <w:r w:rsidR="009F5729">
        <w:t xml:space="preserve"> </w:t>
      </w:r>
    </w:p>
    <w:p w14:paraId="1C35C602" w14:textId="2B1FB995" w:rsidR="00DB26A1" w:rsidRPr="006E7CFB" w:rsidRDefault="007F307A" w:rsidP="006E7CFB">
      <w:r>
        <w:t>S</w:t>
      </w:r>
      <w:r w:rsidR="00A96EE6">
        <w:t xml:space="preserve">ize- and abundance- based currencies of ecological function are linked, </w:t>
      </w:r>
      <w:r>
        <w:t>but</w:t>
      </w:r>
      <w:r w:rsidR="00A96EE6">
        <w:t xml:space="preserve"> not necessarily equivalent. For North American breeding birds, shifts in species composition favoring larger-bodied species may </w:t>
      </w:r>
      <w:r w:rsidR="0064311B">
        <w:t xml:space="preserve">have </w:t>
      </w:r>
      <w:r w:rsidR="00A96EE6">
        <w:t>partially offset declines in standing biomass driven by losses of individuals</w:t>
      </w:r>
      <w:r w:rsidR="0064311B">
        <w:t xml:space="preserve"> over the past 30 years. </w:t>
      </w:r>
    </w:p>
    <w:p w14:paraId="446DCB0D" w14:textId="7BF504B7" w:rsidR="00EB2C50" w:rsidRDefault="00EB2C50" w:rsidP="00EB2C50">
      <w:pPr>
        <w:pStyle w:val="Heading1"/>
      </w:pPr>
      <w:r>
        <w:t xml:space="preserve">Keywords </w:t>
      </w:r>
    </w:p>
    <w:p w14:paraId="0A6B78B1" w14:textId="04301E0C" w:rsidR="002C5982" w:rsidRDefault="007F307A" w:rsidP="00EB2C50">
      <w:r>
        <w:t>Individual size distribution, long-term trends, ecological function, total abundance, North American Breeding Bird Survey</w:t>
      </w:r>
      <w:r w:rsidR="002C5982">
        <w:br w:type="page"/>
      </w:r>
    </w:p>
    <w:p w14:paraId="0651DBB1" w14:textId="0ADE3A33" w:rsidR="00D22527" w:rsidRDefault="008054E9">
      <w:pPr>
        <w:pStyle w:val="Heading1"/>
      </w:pPr>
      <w:commentRangeStart w:id="1"/>
      <w:r>
        <w:lastRenderedPageBreak/>
        <w:t>Introduction</w:t>
      </w:r>
      <w:bookmarkEnd w:id="0"/>
      <w:commentRangeEnd w:id="1"/>
      <w:r w:rsidR="000552BC">
        <w:rPr>
          <w:rStyle w:val="CommentReference"/>
          <w:b w:val="0"/>
        </w:rPr>
        <w:commentReference w:id="1"/>
      </w:r>
    </w:p>
    <w:p w14:paraId="0D65BDFE" w14:textId="7EAFB9AA" w:rsidR="00D22527" w:rsidRDefault="008054E9">
      <w:r>
        <w:t xml:space="preserve">Understanding the interrelated dynamics of size- and -abundance based dimensions of biodiversity is key to understanding biodiversity change in the Anthropocene. Total abundance - </w:t>
      </w:r>
      <w:proofErr w:type="gramStart"/>
      <w:r>
        <w:t>i.e.</w:t>
      </w:r>
      <w:proofErr w:type="gramEnd"/>
      <w:r>
        <w:t>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 xml:space="preserve">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rsidR="008054E9">
        <w:t>Or,</w:t>
      </w:r>
      <w:proofErr w:type="gramEnd"/>
      <w:r w:rsidR="008054E9">
        <w:t xml:space="preserve">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w:t>
      </w:r>
      <w:proofErr w:type="spellStart"/>
      <w:r w:rsidR="008054E9">
        <w:t>Holling</w:t>
      </w:r>
      <w:proofErr w:type="spellEnd"/>
      <w:r w:rsidR="008054E9">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w:t>
      </w:r>
      <w:proofErr w:type="gramStart"/>
      <w:r>
        <w:t>dynamics?;</w:t>
      </w:r>
      <w:proofErr w:type="gramEnd"/>
      <w:r>
        <w:t xml:space="preserve">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2" w:name="methods"/>
      <w:r>
        <w:t>Methods</w:t>
      </w:r>
      <w:bookmarkEnd w:id="2"/>
    </w:p>
    <w:p w14:paraId="0B241A3B" w14:textId="30711C22" w:rsidR="00850BD3" w:rsidRPr="00850BD3" w:rsidRDefault="00850BD3" w:rsidP="00850BD3">
      <w:r>
        <w:t xml:space="preserve">Code to replicate these analyses is available online </w:t>
      </w:r>
      <w:r w:rsidR="00621261">
        <w:t xml:space="preserve">on GitHub. For the purposes of double-blind review, a copy is available at </w:t>
      </w:r>
      <w:commentRangeStart w:id="3"/>
      <w:r w:rsidR="00621261">
        <w:t xml:space="preserve">[]. </w:t>
      </w:r>
      <w:commentRangeEnd w:id="3"/>
      <w:r w:rsidR="00621261">
        <w:rPr>
          <w:rStyle w:val="CommentReference"/>
        </w:rPr>
        <w:commentReference w:id="3"/>
      </w:r>
    </w:p>
    <w:p w14:paraId="559C3D96" w14:textId="77777777" w:rsidR="00D22527" w:rsidRDefault="008054E9">
      <w:pPr>
        <w:pStyle w:val="Heading2"/>
      </w:pPr>
      <w:bookmarkStart w:id="4" w:name="bird-abundance-data"/>
      <w:r>
        <w:t>Bird abundance data</w:t>
      </w:r>
      <w:bookmarkEnd w:id="4"/>
    </w:p>
    <w:p w14:paraId="65F3898B" w14:textId="573F99A5"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w:t>
      </w:r>
      <w:proofErr w:type="gramStart"/>
      <w:r>
        <w:t>), and</w:t>
      </w:r>
      <w:proofErr w:type="gramEnd"/>
      <w:r>
        <w:t xml:space="preserve">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5" w:name="estimated-size-data"/>
      <w:r>
        <w:t>Estimated size data</w:t>
      </w:r>
      <w:bookmarkEnd w:id="5"/>
    </w:p>
    <w:p w14:paraId="07CA21CB" w14:textId="01A30935"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used the mean </w:t>
      </w:r>
      <w:proofErr w:type="spellStart"/>
      <w:r w:rsidR="008054E9">
        <w:t>mean</w:t>
      </w:r>
      <w:proofErr w:type="spellEnd"/>
      <w:r w:rsidR="008054E9">
        <w:t xml:space="preserve">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xml:space="preserve">, we compute total energy use, total biomass, and total abundance by summing over all individuals observed on that route in that year. This method does not incorporate intraspecific variation in body size across geographies or over time (Dunning 2008, Gardner et al. 2011). </w:t>
      </w:r>
      <w:r w:rsidR="008054E9">
        <w:lastRenderedPageBreak/>
        <w:t>However, it makes it possible to conduct macroecological studies of avian size distributions at a spatial and temporal scale that would otherwise be impossible (Thibault et al. 2011).</w:t>
      </w:r>
      <w:r w:rsidR="00B2276E">
        <w:t xml:space="preserve"> </w:t>
      </w:r>
    </w:p>
    <w:p w14:paraId="707F274F" w14:textId="77777777" w:rsidR="00D22527" w:rsidRDefault="008054E9">
      <w:pPr>
        <w:pStyle w:val="Heading2"/>
      </w:pPr>
      <w:bookmarkStart w:id="6" w:name="X90d0b1b91c64e61859763165be56ef0aa57a358"/>
      <w:r>
        <w:t>Comparing abundance- and size- based currencies</w:t>
      </w:r>
      <w:bookmarkEnd w:id="6"/>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w:t>
      </w:r>
      <w:proofErr w:type="gramStart"/>
      <w:r>
        <w:t>e.g.</w:t>
      </w:r>
      <w:proofErr w:type="gramEnd"/>
      <w:r>
        <w:t>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w:t>
      </w:r>
      <w:proofErr w:type="gramStart"/>
      <w:r>
        <w:t>square-</w:t>
      </w:r>
      <w:proofErr w:type="spellStart"/>
      <w:r>
        <w:t>root</w:t>
      </w:r>
      <w:proofErr w:type="spellEnd"/>
      <w:proofErr w:type="gramEnd"/>
      <w:r>
        <w:t xml:space="preserve">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1A16DE85" w:rsidR="00D22527" w:rsidRDefault="00287818">
      <w:r>
        <w:t>Therefore, r</w:t>
      </w:r>
      <w:r w:rsidR="008054E9">
        <w:t>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We refer to these dynamics as “abundance-driven” dynamics.</w:t>
      </w:r>
    </w:p>
    <w:p w14:paraId="653E0013" w14:textId="77777777" w:rsidR="00D22527" w:rsidRDefault="008054E9">
      <w:pPr>
        <w:pStyle w:val="Heading2"/>
      </w:pPr>
      <w:bookmarkStart w:id="7" w:name="long-term-trends"/>
      <w:r>
        <w:t>Long-term trends</w:t>
      </w:r>
      <w:bookmarkEnd w:id="7"/>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w:t>
      </w:r>
      <w:r>
        <w:lastRenderedPageBreak/>
        <w:t>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8" w:name="X31dc718cb093ddf8a408c15748922003f5cf579"/>
      <w:r>
        <w:lastRenderedPageBreak/>
        <w:t>Relating change in community structure to decoupling between abundance and size-based dynamics</w:t>
      </w:r>
      <w:bookmarkEnd w:id="8"/>
    </w:p>
    <w:p w14:paraId="293BE0B5" w14:textId="79AE445A" w:rsidR="00D22527" w:rsidRDefault="00E742EC">
      <w:r>
        <w:t>We used</w:t>
      </w:r>
      <w:r w:rsidR="008054E9">
        <w:t xml:space="preserve"> dissimilarity metrics </w:t>
      </w:r>
      <w:r>
        <w:t>to</w:t>
      </w:r>
      <w:r w:rsidR="00D872B2">
        <w:t xml:space="preserve"> explore the extent to which change in community </w:t>
      </w:r>
      <w:r w:rsidR="000027E0">
        <w:t xml:space="preserve">species or size composition </w:t>
      </w:r>
      <w:r w:rsidR="00D872B2">
        <w:t>propagate</w:t>
      </w:r>
      <w:r w:rsidR="000027E0">
        <w:t>d</w:t>
      </w:r>
      <w:r w:rsidR="00D872B2">
        <w:t xml:space="preserve"> to 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 xml:space="preserve">are most readily interpretable when making pairwise comparisons (as opposed to repeated </w:t>
      </w:r>
      <w:proofErr w:type="spellStart"/>
      <w:r w:rsidR="008054E9">
        <w:t>comparsions</w:t>
      </w:r>
      <w:proofErr w:type="spellEnd"/>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used the absolute log </w:t>
      </w:r>
      <w:r w:rsidR="00CA2122">
        <w:t xml:space="preserve">ratio </w:t>
      </w:r>
      <w:proofErr w:type="gramStart"/>
      <w:r>
        <w:t>so as to</w:t>
      </w:r>
      <w:proofErr w:type="gramEnd"/>
      <w:r>
        <w:t xml:space="preserve">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proofErr w:type="spellStart"/>
      <w:r w:rsidR="00A546E4">
        <w:rPr>
          <w:i/>
          <w:iCs/>
        </w:rPr>
        <w:t>log_ratio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9" w:name="results"/>
      <w:r>
        <w:t>Results</w:t>
      </w:r>
      <w:bookmarkEnd w:id="9"/>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w:t>
      </w:r>
      <w:r>
        <w:lastRenderedPageBreak/>
        <w:t>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10" w:name="discussion"/>
      <w:r>
        <w:lastRenderedPageBreak/>
        <w:t>Discussion</w:t>
      </w:r>
      <w:bookmarkEnd w:id="10"/>
    </w:p>
    <w:p w14:paraId="5EE22359" w14:textId="77777777" w:rsidR="00D22527" w:rsidRPr="008B37C0" w:rsidRDefault="008054E9">
      <w:pPr>
        <w:pStyle w:val="Heading2"/>
        <w:rPr>
          <w:b w:val="0"/>
          <w:bCs/>
          <w:i/>
          <w:iCs/>
        </w:rPr>
      </w:pPr>
      <w:bookmarkStart w:id="11" w:name="X71187e5ad7c35762d36b3535899647f809aae1d"/>
      <w:r w:rsidRPr="008B37C0">
        <w:rPr>
          <w:b w:val="0"/>
          <w:bCs/>
          <w:i/>
          <w:iCs/>
        </w:rPr>
        <w:t>Abundance, biomass, and energy use are nonequivalent currencies</w:t>
      </w:r>
      <w:bookmarkEnd w:id="11"/>
    </w:p>
    <w:p w14:paraId="2472FFE6" w14:textId="77777777" w:rsidR="00D22527" w:rsidRDefault="008054E9">
      <w:r>
        <w:t>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w:t>
      </w:r>
      <w:proofErr w:type="gramStart"/>
      <w:r>
        <w:t>e.g.</w:t>
      </w:r>
      <w:proofErr w:type="gramEnd"/>
      <w:r>
        <w:t xml:space="preserve"> White et al. (2004)). Moreover, extrapolating the </w:t>
      </w:r>
      <w:r>
        <w:lastRenderedPageBreak/>
        <w:t xml:space="preserve">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2" w:name="Xb56ba5c09e97a1137fd1413dd11e1b4c5360ba1"/>
      <w:r w:rsidRPr="0010562F">
        <w:rPr>
          <w:b w:val="0"/>
          <w:bCs/>
          <w:i/>
          <w:iCs/>
        </w:rPr>
        <w:t>For North American breeding birds, biomass has declined less than abundance or energy use</w:t>
      </w:r>
      <w:bookmarkEnd w:id="12"/>
    </w:p>
    <w:p w14:paraId="2AA98273" w14:textId="6D47E5C0"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biomass against declines in abundance.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w:t>
      </w:r>
      <w:proofErr w:type="spellStart"/>
      <w:r>
        <w:t>Dirzo</w:t>
      </w:r>
      <w:proofErr w:type="spellEnd"/>
      <w:r>
        <w:t xml:space="preserve">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w:t>
      </w:r>
      <w:r w:rsidR="004E0B4F">
        <w:t>associated with</w:t>
      </w:r>
      <w:r w:rsidR="00757A1E">
        <w:t xml:space="preserve"> rising temperatures, with the </w:t>
      </w:r>
      <w:r w:rsidR="00757A1E">
        <w:rPr>
          <w:i/>
          <w:iCs/>
        </w:rPr>
        <w:t xml:space="preserve">interspecific </w:t>
      </w:r>
      <w:r w:rsidR="00757A1E">
        <w:t xml:space="preserve">dynamics documented </w:t>
      </w:r>
      <w:commentRangeStart w:id="13"/>
      <w:r w:rsidR="00757A1E">
        <w:t>here</w:t>
      </w:r>
      <w:commentRangeEnd w:id="13"/>
      <w:r w:rsidR="005F7D54">
        <w:rPr>
          <w:rStyle w:val="CommentReference"/>
        </w:rPr>
        <w:commentReference w:id="13"/>
      </w:r>
      <w:r w:rsidR="005F7D54">
        <w:t xml:space="preserve"> </w:t>
      </w:r>
      <w:r w:rsidR="005F7D54">
        <w:lastRenderedPageBreak/>
        <w:t>(</w:t>
      </w:r>
      <w:proofErr w:type="spellStart"/>
      <w:r w:rsidR="001D26B4">
        <w:t>Youngflesh</w:t>
      </w:r>
      <w:proofErr w:type="spellEnd"/>
      <w:r w:rsidR="001D26B4">
        <w:t xml:space="preserve"> et al. 2022</w:t>
      </w:r>
      <w:r w:rsidR="005F7D54">
        <w:t>)</w:t>
      </w:r>
      <w:r w:rsidR="00757A1E">
        <w:t xml:space="preserve">. In principle, declining body size over time could partially offset the interspecific size shifts observed here. Given that interspecific size shifts occur over a dramatically larger range of body sizes than do intraspecific size shifts, we anticipate that, in most instances, the community-wide dynamics would remain qualitatively similar </w:t>
      </w:r>
      <w:proofErr w:type="gramStart"/>
      <w:r w:rsidR="00757A1E">
        <w:t>taking into account</w:t>
      </w:r>
      <w:proofErr w:type="gramEnd"/>
      <w:r w:rsidR="00757A1E">
        <w:t xml:space="preserve"> 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4" w:name="X759c2eb2ccd01dc997225fd7420b62d149e560c"/>
      <w:r w:rsidRPr="0010562F">
        <w:rPr>
          <w:b w:val="0"/>
          <w:bCs/>
          <w:i/>
          <w:iCs/>
        </w:rPr>
        <w:t>Complex relationships between compositional change and community-level properties</w:t>
      </w:r>
      <w:bookmarkEnd w:id="14"/>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w:t>
      </w:r>
      <w:r>
        <w:lastRenderedPageBreak/>
        <w:t xml:space="preserve">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15" w:name="conclusion"/>
      <w:r w:rsidRPr="00CD2419">
        <w:rPr>
          <w:b w:val="0"/>
          <w:bCs/>
          <w:i/>
          <w:iCs/>
        </w:rPr>
        <w:lastRenderedPageBreak/>
        <w:t>Conclusion</w:t>
      </w:r>
      <w:bookmarkEnd w:id="15"/>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6" w:name="references"/>
      <w:r>
        <w:lastRenderedPageBreak/>
        <w:t>References</w:t>
      </w:r>
      <w:bookmarkEnd w:id="16"/>
    </w:p>
    <w:p w14:paraId="32AA4969" w14:textId="77777777" w:rsidR="00D22527" w:rsidRDefault="008054E9">
      <w:bookmarkStart w:id="17" w:name="ref-chesson2000"/>
      <w:bookmarkStart w:id="18" w:name="refs"/>
      <w:r>
        <w:t>Chesson, P. 2000. Mechanisms of Maintenance of Species Diversity. Annual Review of Ecology and Systematics 31:343–366.</w:t>
      </w:r>
    </w:p>
    <w:p w14:paraId="49CF11B1" w14:textId="77777777" w:rsidR="00D22527" w:rsidRDefault="008054E9">
      <w:bookmarkStart w:id="19" w:name="ref-connolly2005"/>
      <w:bookmarkEnd w:id="17"/>
      <w:r>
        <w:t>Connolly, S. R., T. P. Hughes, D. R. Bellwood, and R. H. Karlson. 2005. Community Structure of Corals and Reef Fishes at Multiple Scales. Science 309:1363–1365.</w:t>
      </w:r>
    </w:p>
    <w:p w14:paraId="27E69742" w14:textId="77777777" w:rsidR="00D22527" w:rsidRDefault="008054E9">
      <w:bookmarkStart w:id="20" w:name="ref-cusser2020"/>
      <w:bookmarkEnd w:id="19"/>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21" w:name="ref-dirzo2014"/>
      <w:bookmarkEnd w:id="20"/>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22" w:name="ref-dornelas2011"/>
      <w:bookmarkEnd w:id="21"/>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3" w:name="ref-dunning2008"/>
      <w:bookmarkEnd w:id="22"/>
      <w:r>
        <w:t>Dunning, J. B. 2008. CRC handbook of avian body masses. CRC handbook of avian body masses. 2nd ed. CRC Press, Boca Raton.</w:t>
      </w:r>
    </w:p>
    <w:p w14:paraId="0BA897E8" w14:textId="77777777" w:rsidR="00D22527" w:rsidRDefault="008054E9">
      <w:bookmarkStart w:id="24" w:name="ref-ernest2005"/>
      <w:bookmarkEnd w:id="23"/>
      <w:r>
        <w:t>Ernest, S. K. M. 2005. Body size, energy use, and community structure of small mammals. Ecology 86:1407–1413.</w:t>
      </w:r>
    </w:p>
    <w:p w14:paraId="5DD857DA" w14:textId="77777777" w:rsidR="00D22527" w:rsidRDefault="008054E9">
      <w:bookmarkStart w:id="25" w:name="ref-ernest2008"/>
      <w:bookmarkEnd w:id="24"/>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6" w:name="ref-ernest2009"/>
      <w:bookmarkEnd w:id="25"/>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7" w:name="ref-fisher2010"/>
      <w:bookmarkEnd w:id="26"/>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8" w:name="ref-fristoe2015"/>
      <w:bookmarkEnd w:id="27"/>
      <w:r>
        <w:t>Fristoe, T. S. 2015. Energy use by migrants and residents in North American breeding bird communities. Global Ecology and Biogeography 24:406–415.</w:t>
      </w:r>
    </w:p>
    <w:p w14:paraId="7335222B" w14:textId="77777777" w:rsidR="00D22527" w:rsidRDefault="008054E9">
      <w:bookmarkStart w:id="29" w:name="ref-gardner2011"/>
      <w:bookmarkEnd w:id="28"/>
      <w:r>
        <w:t>Gardner, J. L., A. Peters, M. R. Kearney, L. Joseph, and R. Heinsohn. 2011. Declining body size: A third universal response to warming? Trends in Ecology &amp; Evolution 26:285–291.</w:t>
      </w:r>
    </w:p>
    <w:p w14:paraId="586CD03E" w14:textId="77777777" w:rsidR="00D22527" w:rsidRDefault="008054E9">
      <w:bookmarkStart w:id="30" w:name="ref-harris2018"/>
      <w:bookmarkEnd w:id="29"/>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31" w:name="ref-henderson2010"/>
      <w:bookmarkEnd w:id="30"/>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32" w:name="ref-hernandez2011"/>
      <w:bookmarkEnd w:id="31"/>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3" w:name="ref-holling1992"/>
      <w:bookmarkEnd w:id="32"/>
      <w:proofErr w:type="spellStart"/>
      <w:r>
        <w:t>Holling</w:t>
      </w:r>
      <w:proofErr w:type="spellEnd"/>
      <w:r>
        <w:t>, C. S. 1992. Cross-Scale Morphology, Geometry, and Dynamics of Ecosystems. Ecological Monographs 62:447–502.</w:t>
      </w:r>
    </w:p>
    <w:p w14:paraId="50B2DE23" w14:textId="77777777" w:rsidR="00D22527" w:rsidRDefault="008054E9">
      <w:bookmarkStart w:id="34" w:name="ref-hubbell2001"/>
      <w:bookmarkEnd w:id="33"/>
      <w:r>
        <w:t>Hubbell, S. P. 2001. The Unified Neutral Theory of Biodiversity and Biogeography (MPB-32). Princeton University Press.</w:t>
      </w:r>
    </w:p>
    <w:p w14:paraId="7900B58F" w14:textId="77777777" w:rsidR="00D22527" w:rsidRDefault="008054E9">
      <w:bookmarkStart w:id="35" w:name="ref-kelt2015"/>
      <w:bookmarkEnd w:id="34"/>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6" w:name="ref-kerr2001"/>
      <w:bookmarkEnd w:id="35"/>
      <w:r>
        <w:lastRenderedPageBreak/>
        <w:t>Kerr, S. R., and L. M. Dickie. 2001. The Biomass Spectrum: A Predator-Prey Theory of Aquatic Production. Page 352 Pages. Columbia University Press.</w:t>
      </w:r>
    </w:p>
    <w:p w14:paraId="25095DA3" w14:textId="77777777" w:rsidR="00D22527" w:rsidRDefault="008054E9">
      <w:bookmarkStart w:id="37" w:name="ref-lenth2021"/>
      <w:bookmarkEnd w:id="36"/>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8" w:name="ref-mcgill2015"/>
      <w:bookmarkEnd w:id="37"/>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9" w:name="ref-mcnab2009"/>
      <w:bookmarkEnd w:id="38"/>
      <w:r>
        <w:t>McNab, B. K. 2009. Ecological factors affect the level and scaling of avian BMR. Comparative Biochemistry and Physiology Part A: Molecular &amp; Integrative Physiology 152:22–45.</w:t>
      </w:r>
    </w:p>
    <w:p w14:paraId="1829EA2D" w14:textId="77777777" w:rsidR="00D22527" w:rsidRDefault="008054E9">
      <w:bookmarkStart w:id="40" w:name="ref-morlon2009"/>
      <w:bookmarkEnd w:id="39"/>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41" w:name="ref-nagy2005"/>
      <w:bookmarkEnd w:id="40"/>
      <w:r>
        <w:t>Nagy, K. A. 2005. Field metabolic rate and body size. Journal of Experimental Biology 208:1621–1625.</w:t>
      </w:r>
    </w:p>
    <w:p w14:paraId="568781FC" w14:textId="77777777" w:rsidR="00D22527" w:rsidRDefault="008054E9">
      <w:bookmarkStart w:id="42" w:name="ref-pardieck2019"/>
      <w:bookmarkEnd w:id="41"/>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3" w:name="ref-petchey2010"/>
      <w:bookmarkEnd w:id="42"/>
      <w:r>
        <w:t>Petchey, O. L., and A. Belgrano. 2010. Body-size distributions and size-spectra: Universal indicators of ecological status? Biology Letters 6:434–437.</w:t>
      </w:r>
    </w:p>
    <w:p w14:paraId="3AF2082E" w14:textId="77777777" w:rsidR="00D22527" w:rsidRDefault="008054E9">
      <w:bookmarkStart w:id="44" w:name="ref-pinheiro2020"/>
      <w:bookmarkEnd w:id="43"/>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5" w:name="ref-read2018"/>
      <w:bookmarkEnd w:id="44"/>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6" w:name="ref-schipper2016"/>
      <w:bookmarkEnd w:id="45"/>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7" w:name="ref-schmitz2018"/>
      <w:bookmarkEnd w:id="46"/>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8" w:name="ref-smith2018"/>
      <w:bookmarkEnd w:id="47"/>
      <w:r>
        <w:t>Smith, F. A., R. E. Elliott Smith, S. K. Lyons, and J. L. Payne. 2018. Body size downgrading of mammals over the late Quaternary. Science 360:310–313.</w:t>
      </w:r>
    </w:p>
    <w:p w14:paraId="5C382AA8" w14:textId="77777777" w:rsidR="00D22527" w:rsidRDefault="008054E9">
      <w:bookmarkStart w:id="49" w:name="ref-supp2014a"/>
      <w:bookmarkEnd w:id="48"/>
      <w:r>
        <w:t>Supp, S. R., and S. K. M. Ernest. 2014. Species-level and community-level responses to disturbance: A cross-community analysis. Ecology 95:1717–1723.</w:t>
      </w:r>
    </w:p>
    <w:p w14:paraId="71C94559" w14:textId="77777777" w:rsidR="00D22527" w:rsidRDefault="008054E9">
      <w:bookmarkStart w:id="50" w:name="ref-terry2015"/>
      <w:bookmarkEnd w:id="49"/>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51" w:name="ref-thibault2011"/>
      <w:bookmarkEnd w:id="50"/>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52" w:name="ref-vanvalen1973"/>
      <w:bookmarkEnd w:id="51"/>
      <w:r>
        <w:t xml:space="preserve">Van </w:t>
      </w:r>
      <w:proofErr w:type="spellStart"/>
      <w:r>
        <w:t>Valen</w:t>
      </w:r>
      <w:proofErr w:type="spellEnd"/>
      <w:r>
        <w:t>, L. 1973. A new evolutionary law. Evolutionary Theory 1:1–30.</w:t>
      </w:r>
    </w:p>
    <w:p w14:paraId="38D7064C" w14:textId="77777777" w:rsidR="00D22527" w:rsidRDefault="008054E9">
      <w:bookmarkStart w:id="53" w:name="ref-warwick1994"/>
      <w:bookmarkEnd w:id="52"/>
      <w:r>
        <w:t>Warwick, R. M., and K. R. Clarke. 1994. Relearning the ABC: Taxonomic changes and abundance/biomass relationships in disturbed benthic communities. Marine Biology 118:739–744.</w:t>
      </w:r>
    </w:p>
    <w:p w14:paraId="2C19654E" w14:textId="77777777" w:rsidR="00D22527" w:rsidRDefault="008054E9">
      <w:bookmarkStart w:id="54" w:name="ref-white2004a"/>
      <w:bookmarkEnd w:id="53"/>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5" w:name="ref-white2007"/>
      <w:bookmarkEnd w:id="54"/>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6" w:name="ref-white2004"/>
      <w:bookmarkEnd w:id="55"/>
      <w:r>
        <w:t>White, E. P., S. K. M. Ernest, and K. M. Thibault. 2004. Trade-offs in Community Properties through Time in a Desert Rodent Community. The American Naturalist 164:670–676.</w:t>
      </w:r>
    </w:p>
    <w:p w14:paraId="73F57C37" w14:textId="77777777" w:rsidR="00D22527" w:rsidRDefault="008054E9">
      <w:bookmarkStart w:id="57" w:name="ref-ye2020"/>
      <w:bookmarkEnd w:id="56"/>
      <w:r>
        <w:t xml:space="preserve">Ye, H., E. K. Bledsoe, R. Diaz, S. K. M. Ernest, J. L. </w:t>
      </w:r>
      <w:proofErr w:type="spellStart"/>
      <w:r>
        <w:t>Simonis</w:t>
      </w:r>
      <w:proofErr w:type="spellEnd"/>
      <w:r>
        <w:t xml:space="preserve">, E. P. White, and G. M. Yenni. 2020, May. Macroecological Analyses of Time Series Structure. </w:t>
      </w:r>
      <w:proofErr w:type="spellStart"/>
      <w:r>
        <w:t>Zenodo</w:t>
      </w:r>
      <w:proofErr w:type="spellEnd"/>
      <w:r>
        <w:t>.</w:t>
      </w:r>
    </w:p>
    <w:p w14:paraId="2BAB5054" w14:textId="77777777" w:rsidR="00D22527" w:rsidRDefault="008054E9">
      <w:bookmarkStart w:id="58" w:name="ref-yen2017"/>
      <w:bookmarkEnd w:id="57"/>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20D52F26" w14:textId="08E88CC6" w:rsidR="009823B7" w:rsidRDefault="008054E9">
      <w:bookmarkStart w:id="59" w:name="ref-young2016"/>
      <w:bookmarkEnd w:id="58"/>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8"/>
      <w:bookmarkEnd w:id="59"/>
    </w:p>
    <w:p w14:paraId="19111371" w14:textId="77777777" w:rsidR="009823B7" w:rsidRDefault="009823B7" w:rsidP="009823B7">
      <w:pPr>
        <w:spacing w:before="0" w:after="0"/>
      </w:pPr>
      <w:proofErr w:type="spellStart"/>
      <w:r>
        <w:t>Youngflesh</w:t>
      </w:r>
      <w:proofErr w:type="spellEnd"/>
      <w:r>
        <w:t xml:space="preserve">, C., </w:t>
      </w:r>
      <w:proofErr w:type="spellStart"/>
      <w:r>
        <w:t>Saracco</w:t>
      </w:r>
      <w:proofErr w:type="spellEnd"/>
      <w:r>
        <w:t xml:space="preserve">, J. F., Siegel, R. B., &amp; Tingley, M. W. (2022). Abiotic conditions shape spatial and temporal morphological variation in North American birds. </w:t>
      </w:r>
      <w:r w:rsidRPr="009823B7">
        <w:t>Nature Ecology &amp; Evolution</w:t>
      </w:r>
      <w:r>
        <w:t xml:space="preserve">, 1–11. </w:t>
      </w:r>
      <w:hyperlink r:id="rId11" w:history="1">
        <w:r w:rsidRPr="009823B7">
          <w:t>https://doi.org/10.1038/s41559-022-01893-x</w:t>
        </w:r>
      </w:hyperlink>
    </w:p>
    <w:p w14:paraId="442CC9BE" w14:textId="77777777" w:rsidR="009823B7" w:rsidRDefault="009823B7"/>
    <w:p w14:paraId="28444AE5" w14:textId="77777777" w:rsidR="009D1CF2" w:rsidRDefault="009D1CF2">
      <w:pPr>
        <w:spacing w:before="0" w:after="0" w:line="276" w:lineRule="auto"/>
      </w:pPr>
      <w:r>
        <w:br w:type="page"/>
      </w:r>
    </w:p>
    <w:p w14:paraId="4DA83DBA" w14:textId="77777777" w:rsidR="009D1CF2" w:rsidRDefault="009D1CF2" w:rsidP="009D1CF2">
      <w:r>
        <w:rPr>
          <w:b/>
          <w:bCs/>
        </w:rPr>
        <w:lastRenderedPageBreak/>
        <w:t xml:space="preserve">Data availability: </w:t>
      </w:r>
      <w:r>
        <w:t xml:space="preserve">All data and code supporting this manuscript are available online on GitHub. For the purposes of double-blind review, we have uploaded a copy of these analyses to a burner GitHub repository </w:t>
      </w:r>
      <w:commentRangeStart w:id="60"/>
      <w:r>
        <w:t>at</w:t>
      </w:r>
      <w:commentRangeEnd w:id="60"/>
      <w:r>
        <w:rPr>
          <w:rStyle w:val="CommentReference"/>
        </w:rPr>
        <w:commentReference w:id="60"/>
      </w:r>
      <w:proofErr w:type="gramStart"/>
      <w:r>
        <w:t>: .</w:t>
      </w:r>
      <w:proofErr w:type="gramEnd"/>
      <w:r>
        <w:t xml:space="preserve"> Upon manuscript acceptance, these will be archived in perpetuity on </w:t>
      </w:r>
      <w:proofErr w:type="spellStart"/>
      <w:r>
        <w:t>Zenodo</w:t>
      </w:r>
      <w:proofErr w:type="spellEnd"/>
      <w:r>
        <w:t xml:space="preserve">. </w:t>
      </w:r>
    </w:p>
    <w:p w14:paraId="0F71D3EA" w14:textId="7E43D5D1" w:rsidR="0060328A" w:rsidRDefault="0060328A">
      <w:pPr>
        <w:spacing w:before="0" w:after="0" w:line="276" w:lineRule="auto"/>
      </w:pPr>
      <w:r>
        <w:br w:type="page"/>
      </w:r>
    </w:p>
    <w:p w14:paraId="0BEFE69D" w14:textId="77777777" w:rsidR="0060328A" w:rsidRDefault="0060328A" w:rsidP="0060328A">
      <w:pPr>
        <w:pStyle w:val="Heading3"/>
        <w:rPr>
          <w:b/>
          <w:bCs/>
          <w:i w:val="0"/>
          <w:iCs/>
        </w:rPr>
      </w:pPr>
      <w:r>
        <w:rPr>
          <w:b/>
          <w:bCs/>
          <w:i w:val="0"/>
          <w:iCs/>
        </w:rPr>
        <w:lastRenderedPageBreak/>
        <w:t>Tables</w:t>
      </w:r>
    </w:p>
    <w:p w14:paraId="0D6EC6B7" w14:textId="77777777" w:rsidR="0060328A" w:rsidRPr="00C55764" w:rsidRDefault="0060328A" w:rsidP="0060328A">
      <w:pPr>
        <w:pStyle w:val="Heading3"/>
        <w:rPr>
          <w:b/>
          <w:bCs/>
          <w:i w:val="0"/>
          <w:iCs/>
        </w:rPr>
      </w:pPr>
      <w:r w:rsidRPr="00C55764">
        <w:rPr>
          <w:b/>
          <w:bCs/>
          <w:i w:val="0"/>
          <w:iCs/>
        </w:rPr>
        <w:t>Table 1.</w:t>
      </w:r>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60328A" w14:paraId="58E8CE4A" w14:textId="77777777" w:rsidTr="000A5E9F">
        <w:tc>
          <w:tcPr>
            <w:tcW w:w="0" w:type="auto"/>
            <w:vAlign w:val="bottom"/>
          </w:tcPr>
          <w:p w14:paraId="6DCA1E5D" w14:textId="77777777" w:rsidR="0060328A" w:rsidRDefault="0060328A" w:rsidP="000A5E9F">
            <w:r>
              <w:t>Currency</w:t>
            </w:r>
          </w:p>
        </w:tc>
        <w:tc>
          <w:tcPr>
            <w:tcW w:w="0" w:type="auto"/>
            <w:vAlign w:val="bottom"/>
          </w:tcPr>
          <w:p w14:paraId="7DFBC55A" w14:textId="77777777" w:rsidR="0060328A" w:rsidRDefault="0060328A" w:rsidP="000A5E9F">
            <w:r>
              <w:t>Syndrome</w:t>
            </w:r>
          </w:p>
        </w:tc>
        <w:tc>
          <w:tcPr>
            <w:tcW w:w="0" w:type="auto"/>
            <w:vAlign w:val="bottom"/>
          </w:tcPr>
          <w:p w14:paraId="3ECEF95E" w14:textId="77777777" w:rsidR="0060328A" w:rsidRDefault="0060328A" w:rsidP="000A5E9F">
            <w:pPr>
              <w:jc w:val="right"/>
            </w:pPr>
            <w:r>
              <w:t>Number of routes</w:t>
            </w:r>
          </w:p>
        </w:tc>
        <w:tc>
          <w:tcPr>
            <w:tcW w:w="0" w:type="auto"/>
            <w:vAlign w:val="bottom"/>
          </w:tcPr>
          <w:p w14:paraId="254165BD" w14:textId="77777777" w:rsidR="0060328A" w:rsidRDefault="0060328A" w:rsidP="000A5E9F">
            <w:pPr>
              <w:jc w:val="right"/>
            </w:pPr>
            <w:r>
              <w:t>Proportion of routes</w:t>
            </w:r>
          </w:p>
        </w:tc>
      </w:tr>
      <w:tr w:rsidR="0060328A" w14:paraId="3010CA6E" w14:textId="77777777" w:rsidTr="000A5E9F">
        <w:tc>
          <w:tcPr>
            <w:tcW w:w="0" w:type="auto"/>
          </w:tcPr>
          <w:p w14:paraId="763EC36C" w14:textId="77777777" w:rsidR="0060328A" w:rsidRDefault="0060328A" w:rsidP="000A5E9F">
            <w:r>
              <w:t>Total biomass</w:t>
            </w:r>
          </w:p>
        </w:tc>
        <w:tc>
          <w:tcPr>
            <w:tcW w:w="0" w:type="auto"/>
          </w:tcPr>
          <w:p w14:paraId="60DBFE91" w14:textId="77777777" w:rsidR="0060328A" w:rsidRDefault="0060328A" w:rsidP="000A5E9F">
            <w:r>
              <w:t>No directional change</w:t>
            </w:r>
          </w:p>
        </w:tc>
        <w:tc>
          <w:tcPr>
            <w:tcW w:w="0" w:type="auto"/>
          </w:tcPr>
          <w:p w14:paraId="72C1F616" w14:textId="77777777" w:rsidR="0060328A" w:rsidRDefault="0060328A" w:rsidP="000A5E9F">
            <w:pPr>
              <w:jc w:val="right"/>
            </w:pPr>
            <w:r>
              <w:t>239</w:t>
            </w:r>
          </w:p>
        </w:tc>
        <w:tc>
          <w:tcPr>
            <w:tcW w:w="0" w:type="auto"/>
          </w:tcPr>
          <w:p w14:paraId="160A9C09" w14:textId="77777777" w:rsidR="0060328A" w:rsidRDefault="0060328A" w:rsidP="000A5E9F">
            <w:pPr>
              <w:jc w:val="right"/>
            </w:pPr>
            <w:r>
              <w:t>0.32</w:t>
            </w:r>
          </w:p>
        </w:tc>
      </w:tr>
      <w:tr w:rsidR="0060328A" w14:paraId="739AEFBF" w14:textId="77777777" w:rsidTr="000A5E9F">
        <w:tc>
          <w:tcPr>
            <w:tcW w:w="0" w:type="auto"/>
          </w:tcPr>
          <w:p w14:paraId="0F32AA8A" w14:textId="77777777" w:rsidR="0060328A" w:rsidRDefault="0060328A" w:rsidP="000A5E9F">
            <w:r>
              <w:t>Total biomass</w:t>
            </w:r>
          </w:p>
        </w:tc>
        <w:tc>
          <w:tcPr>
            <w:tcW w:w="0" w:type="auto"/>
          </w:tcPr>
          <w:p w14:paraId="25C53C09" w14:textId="77777777" w:rsidR="0060328A" w:rsidRDefault="0060328A" w:rsidP="000A5E9F">
            <w:r>
              <w:t>Coupled trend</w:t>
            </w:r>
          </w:p>
        </w:tc>
        <w:tc>
          <w:tcPr>
            <w:tcW w:w="0" w:type="auto"/>
          </w:tcPr>
          <w:p w14:paraId="1A9CFF30" w14:textId="77777777" w:rsidR="0060328A" w:rsidRDefault="0060328A" w:rsidP="000A5E9F">
            <w:pPr>
              <w:jc w:val="right"/>
            </w:pPr>
            <w:r>
              <w:t>351</w:t>
            </w:r>
          </w:p>
        </w:tc>
        <w:tc>
          <w:tcPr>
            <w:tcW w:w="0" w:type="auto"/>
          </w:tcPr>
          <w:p w14:paraId="13F686B8" w14:textId="77777777" w:rsidR="0060328A" w:rsidRDefault="0060328A" w:rsidP="000A5E9F">
            <w:pPr>
              <w:jc w:val="right"/>
            </w:pPr>
            <w:r>
              <w:t>0.47</w:t>
            </w:r>
          </w:p>
        </w:tc>
      </w:tr>
      <w:tr w:rsidR="0060328A" w14:paraId="53E6BBD4" w14:textId="77777777" w:rsidTr="000A5E9F">
        <w:tc>
          <w:tcPr>
            <w:tcW w:w="0" w:type="auto"/>
          </w:tcPr>
          <w:p w14:paraId="19EC675A" w14:textId="77777777" w:rsidR="0060328A" w:rsidRDefault="0060328A" w:rsidP="000A5E9F">
            <w:r>
              <w:t>Total biomass</w:t>
            </w:r>
          </w:p>
        </w:tc>
        <w:tc>
          <w:tcPr>
            <w:tcW w:w="0" w:type="auto"/>
          </w:tcPr>
          <w:p w14:paraId="1D45B001" w14:textId="77777777" w:rsidR="0060328A" w:rsidRDefault="0060328A" w:rsidP="000A5E9F">
            <w:r>
              <w:t>Decoupled trend</w:t>
            </w:r>
          </w:p>
        </w:tc>
        <w:tc>
          <w:tcPr>
            <w:tcW w:w="0" w:type="auto"/>
          </w:tcPr>
          <w:p w14:paraId="157DD4B5" w14:textId="77777777" w:rsidR="0060328A" w:rsidRDefault="0060328A" w:rsidP="000A5E9F">
            <w:pPr>
              <w:jc w:val="right"/>
            </w:pPr>
            <w:r>
              <w:t>149</w:t>
            </w:r>
          </w:p>
        </w:tc>
        <w:tc>
          <w:tcPr>
            <w:tcW w:w="0" w:type="auto"/>
          </w:tcPr>
          <w:p w14:paraId="1755DC07" w14:textId="77777777" w:rsidR="0060328A" w:rsidRDefault="0060328A" w:rsidP="000A5E9F">
            <w:pPr>
              <w:jc w:val="right"/>
            </w:pPr>
            <w:r>
              <w:t>0.20</w:t>
            </w:r>
          </w:p>
        </w:tc>
      </w:tr>
      <w:tr w:rsidR="0060328A" w14:paraId="4CEC070B" w14:textId="77777777" w:rsidTr="000A5E9F">
        <w:tc>
          <w:tcPr>
            <w:tcW w:w="0" w:type="auto"/>
          </w:tcPr>
          <w:p w14:paraId="55C09233" w14:textId="77777777" w:rsidR="0060328A" w:rsidRDefault="0060328A" w:rsidP="000A5E9F">
            <w:r>
              <w:t>Total energy use</w:t>
            </w:r>
          </w:p>
        </w:tc>
        <w:tc>
          <w:tcPr>
            <w:tcW w:w="0" w:type="auto"/>
          </w:tcPr>
          <w:p w14:paraId="57B594BA" w14:textId="77777777" w:rsidR="0060328A" w:rsidRDefault="0060328A" w:rsidP="000A5E9F">
            <w:r>
              <w:t>No directional change</w:t>
            </w:r>
          </w:p>
        </w:tc>
        <w:tc>
          <w:tcPr>
            <w:tcW w:w="0" w:type="auto"/>
          </w:tcPr>
          <w:p w14:paraId="6C179A7B" w14:textId="77777777" w:rsidR="0060328A" w:rsidRDefault="0060328A" w:rsidP="000A5E9F">
            <w:pPr>
              <w:jc w:val="right"/>
            </w:pPr>
            <w:r>
              <w:t>230</w:t>
            </w:r>
          </w:p>
        </w:tc>
        <w:tc>
          <w:tcPr>
            <w:tcW w:w="0" w:type="auto"/>
          </w:tcPr>
          <w:p w14:paraId="608E44A3" w14:textId="77777777" w:rsidR="0060328A" w:rsidRDefault="0060328A" w:rsidP="000A5E9F">
            <w:pPr>
              <w:jc w:val="right"/>
            </w:pPr>
            <w:r>
              <w:t>0.31</w:t>
            </w:r>
          </w:p>
        </w:tc>
      </w:tr>
      <w:tr w:rsidR="0060328A" w14:paraId="519F79FF" w14:textId="77777777" w:rsidTr="000A5E9F">
        <w:tc>
          <w:tcPr>
            <w:tcW w:w="0" w:type="auto"/>
          </w:tcPr>
          <w:p w14:paraId="15D70512" w14:textId="77777777" w:rsidR="0060328A" w:rsidRDefault="0060328A" w:rsidP="000A5E9F">
            <w:r>
              <w:t>Total energy use</w:t>
            </w:r>
          </w:p>
        </w:tc>
        <w:tc>
          <w:tcPr>
            <w:tcW w:w="0" w:type="auto"/>
          </w:tcPr>
          <w:p w14:paraId="74EA2F5F" w14:textId="77777777" w:rsidR="0060328A" w:rsidRDefault="0060328A" w:rsidP="000A5E9F">
            <w:r>
              <w:t>Coupled trend</w:t>
            </w:r>
          </w:p>
        </w:tc>
        <w:tc>
          <w:tcPr>
            <w:tcW w:w="0" w:type="auto"/>
          </w:tcPr>
          <w:p w14:paraId="57283351" w14:textId="77777777" w:rsidR="0060328A" w:rsidRDefault="0060328A" w:rsidP="000A5E9F">
            <w:pPr>
              <w:jc w:val="right"/>
            </w:pPr>
            <w:r>
              <w:t>456</w:t>
            </w:r>
          </w:p>
        </w:tc>
        <w:tc>
          <w:tcPr>
            <w:tcW w:w="0" w:type="auto"/>
          </w:tcPr>
          <w:p w14:paraId="3C45822B" w14:textId="77777777" w:rsidR="0060328A" w:rsidRDefault="0060328A" w:rsidP="000A5E9F">
            <w:pPr>
              <w:jc w:val="right"/>
            </w:pPr>
            <w:r>
              <w:t>0.62</w:t>
            </w:r>
          </w:p>
        </w:tc>
      </w:tr>
      <w:tr w:rsidR="0060328A" w14:paraId="7B232E8F" w14:textId="77777777" w:rsidTr="000A5E9F">
        <w:tc>
          <w:tcPr>
            <w:tcW w:w="0" w:type="auto"/>
          </w:tcPr>
          <w:p w14:paraId="6E180553" w14:textId="77777777" w:rsidR="0060328A" w:rsidRDefault="0060328A" w:rsidP="000A5E9F">
            <w:r>
              <w:t>Total energy use</w:t>
            </w:r>
          </w:p>
        </w:tc>
        <w:tc>
          <w:tcPr>
            <w:tcW w:w="0" w:type="auto"/>
          </w:tcPr>
          <w:p w14:paraId="2A912B41" w14:textId="77777777" w:rsidR="0060328A" w:rsidRDefault="0060328A" w:rsidP="000A5E9F">
            <w:r>
              <w:t>Decoupled trend</w:t>
            </w:r>
          </w:p>
        </w:tc>
        <w:tc>
          <w:tcPr>
            <w:tcW w:w="0" w:type="auto"/>
          </w:tcPr>
          <w:p w14:paraId="1E3517E2" w14:textId="77777777" w:rsidR="0060328A" w:rsidRDefault="0060328A" w:rsidP="000A5E9F">
            <w:pPr>
              <w:jc w:val="right"/>
            </w:pPr>
            <w:r>
              <w:t>53</w:t>
            </w:r>
          </w:p>
        </w:tc>
        <w:tc>
          <w:tcPr>
            <w:tcW w:w="0" w:type="auto"/>
          </w:tcPr>
          <w:p w14:paraId="75E20693" w14:textId="77777777" w:rsidR="0060328A" w:rsidRDefault="0060328A" w:rsidP="000A5E9F">
            <w:pPr>
              <w:jc w:val="right"/>
            </w:pPr>
            <w:r>
              <w:t>0.07</w:t>
            </w:r>
          </w:p>
        </w:tc>
      </w:tr>
    </w:tbl>
    <w:p w14:paraId="0FBE1937" w14:textId="77777777" w:rsidR="0060328A" w:rsidRDefault="0060328A" w:rsidP="0060328A"/>
    <w:p w14:paraId="0ADA10CD" w14:textId="77777777" w:rsidR="0060328A" w:rsidRDefault="0060328A" w:rsidP="0060328A">
      <w:r>
        <w:rPr>
          <w:b/>
          <w:bCs/>
        </w:rPr>
        <w:t xml:space="preserve">Table 1. </w:t>
      </w:r>
      <w:r>
        <w:t xml:space="preserve">Table of the number and proportion of routes whose dynamics for total biomass and total energy use are best described by the following syndromes: no directional change (intercept-only model, </w:t>
      </w:r>
      <w:r w:rsidRPr="00925659">
        <w:rPr>
          <w:i/>
          <w:iCs/>
        </w:rPr>
        <w:t>biomass ~ 1</w:t>
      </w:r>
      <w:r>
        <w:rPr>
          <w:i/>
          <w:iCs/>
        </w:rPr>
        <w:t xml:space="preserve"> </w:t>
      </w:r>
      <w:r>
        <w:t xml:space="preserve">or </w:t>
      </w:r>
      <w:r>
        <w:rPr>
          <w:i/>
          <w:iCs/>
        </w:rPr>
        <w:t>energy use</w:t>
      </w:r>
      <w:r w:rsidRPr="00925659">
        <w:rPr>
          <w:i/>
          <w:iCs/>
        </w:rPr>
        <w:t xml:space="preserve"> ~ 1</w:t>
      </w:r>
      <w:r>
        <w:t>); a coupled trend (</w:t>
      </w:r>
      <w:r w:rsidRPr="00925659">
        <w:rPr>
          <w:i/>
          <w:iCs/>
        </w:rPr>
        <w:t xml:space="preserve">biomass ~ </w:t>
      </w:r>
      <w:r w:rsidRPr="00397A01">
        <w:rPr>
          <w:i/>
          <w:iCs/>
        </w:rPr>
        <w:t xml:space="preserve"> year</w:t>
      </w:r>
      <w:r>
        <w:rPr>
          <w:i/>
          <w:iCs/>
        </w:rPr>
        <w:t xml:space="preserve"> </w:t>
      </w:r>
      <w:r>
        <w:t xml:space="preserve">or </w:t>
      </w:r>
      <w:r>
        <w:rPr>
          <w:i/>
          <w:iCs/>
        </w:rPr>
        <w:t>energy use ~ year</w:t>
      </w:r>
      <w:r>
        <w:t>); or a model with decoupled temporal trends for observed and abundance-driven dynamics (</w:t>
      </w:r>
      <w:r>
        <w:rPr>
          <w:i/>
          <w:iCs/>
        </w:rPr>
        <w:t xml:space="preserve">biomass ~ year *  dynamics </w:t>
      </w:r>
      <w:r>
        <w:t xml:space="preserve">or </w:t>
      </w:r>
      <w:r>
        <w:rPr>
          <w:i/>
          <w:iCs/>
        </w:rPr>
        <w:t>energy use ~ year * dynamics</w:t>
      </w:r>
      <w:r>
        <w:t xml:space="preserve">, where </w:t>
      </w:r>
      <w:r w:rsidRPr="006044DF">
        <w:rPr>
          <w:i/>
          <w:iCs/>
        </w:rPr>
        <w:t>dynamics</w:t>
      </w:r>
      <w:r>
        <w:t xml:space="preserve"> refers to observed or null model, abundance-driven dynamics).</w:t>
      </w:r>
    </w:p>
    <w:p w14:paraId="6AC33654" w14:textId="77777777" w:rsidR="0060328A" w:rsidRDefault="0060328A" w:rsidP="0060328A">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5E0814A6" w14:textId="77777777" w:rsidR="0060328A" w:rsidRPr="005249CC" w:rsidRDefault="0060328A" w:rsidP="0060328A">
      <w:pPr>
        <w:spacing w:before="0" w:after="0" w:line="276" w:lineRule="auto"/>
      </w:pPr>
    </w:p>
    <w:p w14:paraId="770CFFDD" w14:textId="77777777" w:rsidR="0060328A" w:rsidRDefault="0060328A" w:rsidP="0060328A">
      <w:pPr>
        <w:spacing w:before="0" w:after="0" w:line="276" w:lineRule="auto"/>
      </w:pPr>
      <w:r>
        <w:br w:type="page"/>
      </w:r>
    </w:p>
    <w:p w14:paraId="48C0C023" w14:textId="77777777" w:rsidR="0060328A" w:rsidRPr="00AD212F" w:rsidRDefault="0060328A" w:rsidP="0060328A">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60328A" w14:paraId="754D04C7" w14:textId="77777777" w:rsidTr="000A5E9F">
        <w:tc>
          <w:tcPr>
            <w:tcW w:w="0" w:type="auto"/>
            <w:vAlign w:val="bottom"/>
          </w:tcPr>
          <w:p w14:paraId="2597EC7D" w14:textId="77777777" w:rsidR="0060328A" w:rsidRDefault="0060328A" w:rsidP="000A5E9F">
            <w:r>
              <w:t>Currency</w:t>
            </w:r>
          </w:p>
        </w:tc>
        <w:tc>
          <w:tcPr>
            <w:tcW w:w="0" w:type="auto"/>
            <w:vAlign w:val="bottom"/>
          </w:tcPr>
          <w:p w14:paraId="50582EDB" w14:textId="77777777" w:rsidR="0060328A" w:rsidRDefault="0060328A" w:rsidP="000A5E9F">
            <w:pPr>
              <w:jc w:val="right"/>
            </w:pPr>
            <w:r>
              <w:t>Proportion of increasing abundance-driven trends</w:t>
            </w:r>
          </w:p>
        </w:tc>
        <w:tc>
          <w:tcPr>
            <w:tcW w:w="0" w:type="auto"/>
            <w:vAlign w:val="bottom"/>
          </w:tcPr>
          <w:p w14:paraId="620A7148" w14:textId="77777777" w:rsidR="0060328A" w:rsidRDefault="0060328A" w:rsidP="000A5E9F">
            <w:pPr>
              <w:jc w:val="right"/>
            </w:pPr>
            <w:r>
              <w:t>Proportion of increasing observed trends</w:t>
            </w:r>
          </w:p>
        </w:tc>
        <w:tc>
          <w:tcPr>
            <w:tcW w:w="0" w:type="auto"/>
            <w:vAlign w:val="bottom"/>
          </w:tcPr>
          <w:p w14:paraId="45A8BC4F" w14:textId="77777777" w:rsidR="0060328A" w:rsidRDefault="0060328A" w:rsidP="000A5E9F">
            <w:pPr>
              <w:jc w:val="right"/>
            </w:pPr>
            <w:r>
              <w:t>Number of routes with temporal trends</w:t>
            </w:r>
          </w:p>
        </w:tc>
      </w:tr>
      <w:tr w:rsidR="0060328A" w14:paraId="4AD3D878" w14:textId="77777777" w:rsidTr="000A5E9F">
        <w:tc>
          <w:tcPr>
            <w:tcW w:w="0" w:type="auto"/>
          </w:tcPr>
          <w:p w14:paraId="26BD3D95" w14:textId="77777777" w:rsidR="0060328A" w:rsidRDefault="0060328A" w:rsidP="000A5E9F">
            <w:r>
              <w:t>Total biomass</w:t>
            </w:r>
          </w:p>
        </w:tc>
        <w:tc>
          <w:tcPr>
            <w:tcW w:w="0" w:type="auto"/>
          </w:tcPr>
          <w:p w14:paraId="44F03733" w14:textId="77777777" w:rsidR="0060328A" w:rsidRDefault="0060328A" w:rsidP="000A5E9F">
            <w:pPr>
              <w:jc w:val="right"/>
            </w:pPr>
            <w:r>
              <w:t>0.33</w:t>
            </w:r>
          </w:p>
        </w:tc>
        <w:tc>
          <w:tcPr>
            <w:tcW w:w="0" w:type="auto"/>
          </w:tcPr>
          <w:p w14:paraId="4E827099" w14:textId="77777777" w:rsidR="0060328A" w:rsidRDefault="0060328A" w:rsidP="000A5E9F">
            <w:pPr>
              <w:jc w:val="right"/>
            </w:pPr>
            <w:r>
              <w:t>0.49</w:t>
            </w:r>
          </w:p>
        </w:tc>
        <w:tc>
          <w:tcPr>
            <w:tcW w:w="0" w:type="auto"/>
          </w:tcPr>
          <w:p w14:paraId="7D268BF3" w14:textId="77777777" w:rsidR="0060328A" w:rsidRDefault="0060328A" w:rsidP="000A5E9F">
            <w:pPr>
              <w:jc w:val="right"/>
            </w:pPr>
            <w:r>
              <w:t>500</w:t>
            </w:r>
          </w:p>
        </w:tc>
      </w:tr>
      <w:tr w:rsidR="0060328A" w14:paraId="7CEE1C1C" w14:textId="77777777" w:rsidTr="000A5E9F">
        <w:tc>
          <w:tcPr>
            <w:tcW w:w="0" w:type="auto"/>
          </w:tcPr>
          <w:p w14:paraId="3C2462B7" w14:textId="77777777" w:rsidR="0060328A" w:rsidRDefault="0060328A" w:rsidP="000A5E9F">
            <w:r>
              <w:t>Total energy use</w:t>
            </w:r>
          </w:p>
        </w:tc>
        <w:tc>
          <w:tcPr>
            <w:tcW w:w="0" w:type="auto"/>
          </w:tcPr>
          <w:p w14:paraId="5AEBC844" w14:textId="77777777" w:rsidR="0060328A" w:rsidRDefault="0060328A" w:rsidP="000A5E9F">
            <w:pPr>
              <w:jc w:val="right"/>
            </w:pPr>
            <w:r>
              <w:t>0.30</w:t>
            </w:r>
          </w:p>
        </w:tc>
        <w:tc>
          <w:tcPr>
            <w:tcW w:w="0" w:type="auto"/>
          </w:tcPr>
          <w:p w14:paraId="226EC4FA" w14:textId="77777777" w:rsidR="0060328A" w:rsidRDefault="0060328A" w:rsidP="000A5E9F">
            <w:pPr>
              <w:jc w:val="right"/>
            </w:pPr>
            <w:r>
              <w:t>0.35</w:t>
            </w:r>
          </w:p>
        </w:tc>
        <w:tc>
          <w:tcPr>
            <w:tcW w:w="0" w:type="auto"/>
          </w:tcPr>
          <w:p w14:paraId="0E87705B" w14:textId="77777777" w:rsidR="0060328A" w:rsidRDefault="0060328A" w:rsidP="000A5E9F">
            <w:pPr>
              <w:jc w:val="right"/>
            </w:pPr>
            <w:r>
              <w:t>509</w:t>
            </w:r>
          </w:p>
        </w:tc>
      </w:tr>
    </w:tbl>
    <w:p w14:paraId="55B96232" w14:textId="77777777" w:rsidR="0060328A" w:rsidRPr="00EF1E28" w:rsidRDefault="0060328A" w:rsidP="0060328A">
      <w:pPr>
        <w:rPr>
          <w:b/>
          <w:bCs/>
        </w:rPr>
      </w:pPr>
      <w:bookmarkStart w:id="61" w:name="X7cf9e2c66cae91482f0f316d0c0dac24358c362"/>
      <w:r w:rsidRPr="00EF1E28">
        <w:rPr>
          <w:b/>
          <w:bCs/>
        </w:rPr>
        <w:t xml:space="preserve">Table 2. </w:t>
      </w:r>
      <w:bookmarkEnd w:id="61"/>
    </w:p>
    <w:p w14:paraId="43F8F41A" w14:textId="77777777" w:rsidR="0060328A" w:rsidRDefault="0060328A" w:rsidP="0060328A">
      <w:r>
        <w:t xml:space="preserve">The proportion of trends that are increasing (specifically, for which the ratio of the last fitted value to the first fitted value &gt; 1) for abundance-driven and observed dynamics, for routes exhibiting temporal trends (“coupled trends” or “decoupled trends”) in total biomass and total energy use (for biomass, </w:t>
      </w:r>
      <w:r>
        <w:rPr>
          <w:i/>
          <w:iCs/>
        </w:rPr>
        <w:t xml:space="preserve">n </w:t>
      </w:r>
      <w:r>
        <w:t xml:space="preserve">= 500; for energy use, </w:t>
      </w:r>
      <w:r>
        <w:rPr>
          <w:i/>
          <w:iCs/>
        </w:rPr>
        <w:t xml:space="preserve">n = </w:t>
      </w:r>
      <w:r w:rsidRPr="005B4850">
        <w:t>509</w:t>
      </w:r>
      <w:r>
        <w:t>). Trends that are not increasing are decreasing.</w:t>
      </w:r>
    </w:p>
    <w:p w14:paraId="40B95E6A" w14:textId="77777777" w:rsidR="0060328A" w:rsidRDefault="0060328A" w:rsidP="0060328A">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0B6EB3A8" w14:textId="77777777" w:rsidR="00F769F7" w:rsidRDefault="00F769F7"/>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62" w:name="figure-1."/>
      <w:r w:rsidRPr="00DF4FB8">
        <w:rPr>
          <w:b/>
          <w:bCs/>
        </w:rPr>
        <w:t>Figure 1.</w:t>
      </w:r>
      <w:bookmarkEnd w:id="62"/>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63"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63"/>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64"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64"/>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5" w:name="X7f8135000bc5a650b0df27bc14c80f03923ddde"/>
      <w:r w:rsidRPr="00F60001">
        <w:rPr>
          <w:b/>
          <w:bCs/>
        </w:rPr>
        <w:lastRenderedPageBreak/>
        <w:t xml:space="preserve">Figure 4. </w:t>
      </w:r>
      <w:bookmarkEnd w:id="65"/>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00179AA" w14:textId="7CCA185D" w:rsidR="00AD212F" w:rsidRPr="0060328A" w:rsidRDefault="00AD212F" w:rsidP="003C7803">
      <w:pPr>
        <w:spacing w:before="0" w:after="0" w:line="276" w:lineRule="auto"/>
        <w:rPr>
          <w:i/>
        </w:rPr>
      </w:pPr>
    </w:p>
    <w:sectPr w:rsidR="00AD212F" w:rsidRPr="0060328A" w:rsidSect="008F15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Renata M" w:date="2022-10-26T15:06:00Z" w:initials="DM">
    <w:p w14:paraId="5D40CBBB" w14:textId="53D29118" w:rsidR="000552BC" w:rsidRDefault="000552BC" w:rsidP="00CF3EB4">
      <w:r>
        <w:rPr>
          <w:rStyle w:val="CommentReference"/>
        </w:rPr>
        <w:annotationRef/>
      </w:r>
      <w:r>
        <w:rPr>
          <w:sz w:val="20"/>
          <w:szCs w:val="20"/>
        </w:rPr>
        <w:t>Main text word count: 4666</w:t>
      </w:r>
    </w:p>
  </w:comment>
  <w:comment w:id="3" w:author="Diaz,Renata M" w:date="2022-10-26T15:15:00Z" w:initials="DM">
    <w:p w14:paraId="38A036E9" w14:textId="77777777" w:rsidR="00621261" w:rsidRDefault="00621261" w:rsidP="008D002C">
      <w:r>
        <w:rPr>
          <w:rStyle w:val="CommentReference"/>
        </w:rPr>
        <w:annotationRef/>
      </w:r>
      <w:r>
        <w:rPr>
          <w:sz w:val="20"/>
          <w:szCs w:val="20"/>
        </w:rPr>
        <w:t>Burner repo</w:t>
      </w:r>
    </w:p>
  </w:comment>
  <w:comment w:id="13" w:author="Diaz,Renata M" w:date="2022-10-26T15:34:00Z" w:initials="DM">
    <w:p w14:paraId="2050A69E" w14:textId="77777777" w:rsidR="005F7D54" w:rsidRDefault="005F7D54" w:rsidP="00040B16">
      <w:r>
        <w:rPr>
          <w:rStyle w:val="CommentReference"/>
        </w:rPr>
        <w:annotationRef/>
      </w:r>
      <w:r>
        <w:rPr>
          <w:sz w:val="20"/>
          <w:szCs w:val="20"/>
        </w:rPr>
        <w:t>Body size ref</w:t>
      </w:r>
    </w:p>
  </w:comment>
  <w:comment w:id="60" w:author="Diaz,Renata M" w:date="2022-10-26T15:08:00Z" w:initials="DM">
    <w:p w14:paraId="4A54F55E" w14:textId="77777777" w:rsidR="009D1CF2" w:rsidRDefault="009D1CF2" w:rsidP="009D1CF2">
      <w:r>
        <w:rPr>
          <w:rStyle w:val="CommentReference"/>
        </w:rPr>
        <w:annotationRef/>
      </w:r>
      <w:r>
        <w:rPr>
          <w:sz w:val="20"/>
          <w:szCs w:val="20"/>
        </w:rPr>
        <w:t>Burner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0CBBB" w15:done="0"/>
  <w15:commentEx w15:paraId="38A036E9" w15:done="0"/>
  <w15:commentEx w15:paraId="2050A69E" w15:done="0"/>
  <w15:commentEx w15:paraId="4A54F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B6E" w16cex:dateUtc="2022-10-26T19:06:00Z"/>
  <w16cex:commentExtensible w16cex:durableId="2703CD7F" w16cex:dateUtc="2022-10-26T19:15:00Z"/>
  <w16cex:commentExtensible w16cex:durableId="2703D21C" w16cex:dateUtc="2022-10-26T19:34:00Z"/>
  <w16cex:commentExtensible w16cex:durableId="2703CC0B" w16cex:dateUtc="2022-10-26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0CBBB" w16cid:durableId="2703CB6E"/>
  <w16cid:commentId w16cid:paraId="38A036E9" w16cid:durableId="2703CD7F"/>
  <w16cid:commentId w16cid:paraId="2050A69E" w16cid:durableId="2703D21C"/>
  <w16cid:commentId w16cid:paraId="4A54F55E" w16cid:durableId="2703C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EDEF" w14:textId="77777777" w:rsidR="00B52069" w:rsidRDefault="00B52069">
      <w:pPr>
        <w:spacing w:before="0" w:after="0" w:line="240" w:lineRule="auto"/>
      </w:pPr>
      <w:r>
        <w:separator/>
      </w:r>
    </w:p>
  </w:endnote>
  <w:endnote w:type="continuationSeparator" w:id="0">
    <w:p w14:paraId="5B38B46C" w14:textId="77777777" w:rsidR="00B52069" w:rsidRDefault="00B520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8C21" w14:textId="77777777" w:rsidR="00B52069" w:rsidRDefault="00B52069">
      <w:r>
        <w:separator/>
      </w:r>
    </w:p>
  </w:footnote>
  <w:footnote w:type="continuationSeparator" w:id="0">
    <w:p w14:paraId="1CA47666" w14:textId="77777777" w:rsidR="00B52069" w:rsidRDefault="00B52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8566F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048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D3493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4438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E4B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46D6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2A64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E1809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EAD7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B280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4614744">
    <w:abstractNumId w:val="1"/>
  </w:num>
  <w:num w:numId="4" w16cid:durableId="312761409">
    <w:abstractNumId w:val="2"/>
  </w:num>
  <w:num w:numId="5" w16cid:durableId="1690372644">
    <w:abstractNumId w:val="3"/>
  </w:num>
  <w:num w:numId="6" w16cid:durableId="202255486">
    <w:abstractNumId w:val="4"/>
  </w:num>
  <w:num w:numId="7" w16cid:durableId="6712202">
    <w:abstractNumId w:val="9"/>
  </w:num>
  <w:num w:numId="8" w16cid:durableId="1533959777">
    <w:abstractNumId w:val="5"/>
  </w:num>
  <w:num w:numId="9" w16cid:durableId="1079213220">
    <w:abstractNumId w:val="6"/>
  </w:num>
  <w:num w:numId="10" w16cid:durableId="1257518704">
    <w:abstractNumId w:val="7"/>
  </w:num>
  <w:num w:numId="11" w16cid:durableId="216479049">
    <w:abstractNumId w:val="8"/>
  </w:num>
  <w:num w:numId="12" w16cid:durableId="10170790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7E0"/>
    <w:rsid w:val="00011C8B"/>
    <w:rsid w:val="0001343E"/>
    <w:rsid w:val="00015D64"/>
    <w:rsid w:val="00025336"/>
    <w:rsid w:val="0003057A"/>
    <w:rsid w:val="000457C3"/>
    <w:rsid w:val="0005170F"/>
    <w:rsid w:val="000552BC"/>
    <w:rsid w:val="00082D42"/>
    <w:rsid w:val="00097D4F"/>
    <w:rsid w:val="000A012D"/>
    <w:rsid w:val="000A447D"/>
    <w:rsid w:val="000A66BB"/>
    <w:rsid w:val="000B3B8E"/>
    <w:rsid w:val="000B6CE3"/>
    <w:rsid w:val="000D564B"/>
    <w:rsid w:val="00100956"/>
    <w:rsid w:val="0010562F"/>
    <w:rsid w:val="00112E3E"/>
    <w:rsid w:val="00126807"/>
    <w:rsid w:val="00133F19"/>
    <w:rsid w:val="001561E7"/>
    <w:rsid w:val="00176A09"/>
    <w:rsid w:val="00184CB6"/>
    <w:rsid w:val="001A558D"/>
    <w:rsid w:val="001A6C2F"/>
    <w:rsid w:val="001C2CE1"/>
    <w:rsid w:val="001D26B4"/>
    <w:rsid w:val="001D4FDB"/>
    <w:rsid w:val="001F19D2"/>
    <w:rsid w:val="001F47AF"/>
    <w:rsid w:val="002062F8"/>
    <w:rsid w:val="00206BD4"/>
    <w:rsid w:val="00207E3A"/>
    <w:rsid w:val="00232508"/>
    <w:rsid w:val="00236B4A"/>
    <w:rsid w:val="002372D7"/>
    <w:rsid w:val="00237A48"/>
    <w:rsid w:val="00263E20"/>
    <w:rsid w:val="00273F00"/>
    <w:rsid w:val="00280635"/>
    <w:rsid w:val="00287818"/>
    <w:rsid w:val="00292506"/>
    <w:rsid w:val="002A25C2"/>
    <w:rsid w:val="002C5982"/>
    <w:rsid w:val="002D3EB0"/>
    <w:rsid w:val="002E4EFB"/>
    <w:rsid w:val="002F5A59"/>
    <w:rsid w:val="00322DD9"/>
    <w:rsid w:val="00322E88"/>
    <w:rsid w:val="0034547A"/>
    <w:rsid w:val="003907A5"/>
    <w:rsid w:val="003A3EDF"/>
    <w:rsid w:val="003C44D3"/>
    <w:rsid w:val="003C643E"/>
    <w:rsid w:val="003C7803"/>
    <w:rsid w:val="003D1A25"/>
    <w:rsid w:val="003D7B60"/>
    <w:rsid w:val="003E39A2"/>
    <w:rsid w:val="003F1C3D"/>
    <w:rsid w:val="003F1DBB"/>
    <w:rsid w:val="003F6C35"/>
    <w:rsid w:val="00405D39"/>
    <w:rsid w:val="004121F1"/>
    <w:rsid w:val="00420AF8"/>
    <w:rsid w:val="0044445D"/>
    <w:rsid w:val="0047676A"/>
    <w:rsid w:val="00480C20"/>
    <w:rsid w:val="00482A4F"/>
    <w:rsid w:val="00495002"/>
    <w:rsid w:val="004C1216"/>
    <w:rsid w:val="004C5114"/>
    <w:rsid w:val="004C62D6"/>
    <w:rsid w:val="004E0B4F"/>
    <w:rsid w:val="004E29B3"/>
    <w:rsid w:val="004F6D55"/>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4850"/>
    <w:rsid w:val="005B6C27"/>
    <w:rsid w:val="005C3594"/>
    <w:rsid w:val="005D0906"/>
    <w:rsid w:val="005D459B"/>
    <w:rsid w:val="005D7E98"/>
    <w:rsid w:val="005E588B"/>
    <w:rsid w:val="005F2DA8"/>
    <w:rsid w:val="005F41CF"/>
    <w:rsid w:val="005F7D54"/>
    <w:rsid w:val="0060328A"/>
    <w:rsid w:val="00604935"/>
    <w:rsid w:val="00615D30"/>
    <w:rsid w:val="00621261"/>
    <w:rsid w:val="00631136"/>
    <w:rsid w:val="006354A3"/>
    <w:rsid w:val="00641C58"/>
    <w:rsid w:val="0064311B"/>
    <w:rsid w:val="00643A87"/>
    <w:rsid w:val="00650DC2"/>
    <w:rsid w:val="00665680"/>
    <w:rsid w:val="006748F2"/>
    <w:rsid w:val="00677C2B"/>
    <w:rsid w:val="006A3B1B"/>
    <w:rsid w:val="006D517B"/>
    <w:rsid w:val="006D7AF8"/>
    <w:rsid w:val="006E03DA"/>
    <w:rsid w:val="006E1610"/>
    <w:rsid w:val="006E7CFB"/>
    <w:rsid w:val="00700E25"/>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7F307A"/>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6154C"/>
    <w:rsid w:val="009823B7"/>
    <w:rsid w:val="009A1801"/>
    <w:rsid w:val="009B5547"/>
    <w:rsid w:val="009D1CF2"/>
    <w:rsid w:val="009D4247"/>
    <w:rsid w:val="009E234D"/>
    <w:rsid w:val="009F393B"/>
    <w:rsid w:val="009F5729"/>
    <w:rsid w:val="00A0169A"/>
    <w:rsid w:val="00A0696C"/>
    <w:rsid w:val="00A12D5F"/>
    <w:rsid w:val="00A14BE6"/>
    <w:rsid w:val="00A240E8"/>
    <w:rsid w:val="00A24971"/>
    <w:rsid w:val="00A26421"/>
    <w:rsid w:val="00A2684A"/>
    <w:rsid w:val="00A32721"/>
    <w:rsid w:val="00A546E4"/>
    <w:rsid w:val="00A5515B"/>
    <w:rsid w:val="00A56AE5"/>
    <w:rsid w:val="00A642E9"/>
    <w:rsid w:val="00A751DB"/>
    <w:rsid w:val="00A75EF0"/>
    <w:rsid w:val="00A96EE6"/>
    <w:rsid w:val="00AB3693"/>
    <w:rsid w:val="00AC2E90"/>
    <w:rsid w:val="00AC6F69"/>
    <w:rsid w:val="00AD1CD8"/>
    <w:rsid w:val="00AD212F"/>
    <w:rsid w:val="00AD6285"/>
    <w:rsid w:val="00AD673D"/>
    <w:rsid w:val="00AF4A68"/>
    <w:rsid w:val="00AF5610"/>
    <w:rsid w:val="00B020AA"/>
    <w:rsid w:val="00B07687"/>
    <w:rsid w:val="00B15E64"/>
    <w:rsid w:val="00B209BE"/>
    <w:rsid w:val="00B2276E"/>
    <w:rsid w:val="00B22CF3"/>
    <w:rsid w:val="00B279C4"/>
    <w:rsid w:val="00B3118B"/>
    <w:rsid w:val="00B42886"/>
    <w:rsid w:val="00B4600F"/>
    <w:rsid w:val="00B52069"/>
    <w:rsid w:val="00B6501F"/>
    <w:rsid w:val="00B86B75"/>
    <w:rsid w:val="00BA1EE2"/>
    <w:rsid w:val="00BA4936"/>
    <w:rsid w:val="00BA513D"/>
    <w:rsid w:val="00BB664B"/>
    <w:rsid w:val="00BC48D5"/>
    <w:rsid w:val="00BE14BB"/>
    <w:rsid w:val="00BE192D"/>
    <w:rsid w:val="00BF0389"/>
    <w:rsid w:val="00BF2189"/>
    <w:rsid w:val="00C005EC"/>
    <w:rsid w:val="00C07212"/>
    <w:rsid w:val="00C1182A"/>
    <w:rsid w:val="00C162F8"/>
    <w:rsid w:val="00C22ED9"/>
    <w:rsid w:val="00C3460F"/>
    <w:rsid w:val="00C36279"/>
    <w:rsid w:val="00C55764"/>
    <w:rsid w:val="00C5742A"/>
    <w:rsid w:val="00C66C91"/>
    <w:rsid w:val="00C73496"/>
    <w:rsid w:val="00C73855"/>
    <w:rsid w:val="00C80FEC"/>
    <w:rsid w:val="00C814E5"/>
    <w:rsid w:val="00CA2122"/>
    <w:rsid w:val="00CA3B60"/>
    <w:rsid w:val="00CB04F7"/>
    <w:rsid w:val="00CC175E"/>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B26A1"/>
    <w:rsid w:val="00DC3696"/>
    <w:rsid w:val="00DD78DF"/>
    <w:rsid w:val="00DF4FB8"/>
    <w:rsid w:val="00DF5B16"/>
    <w:rsid w:val="00E01A9C"/>
    <w:rsid w:val="00E02730"/>
    <w:rsid w:val="00E204BB"/>
    <w:rsid w:val="00E315A3"/>
    <w:rsid w:val="00E468AE"/>
    <w:rsid w:val="00E742EC"/>
    <w:rsid w:val="00E94A81"/>
    <w:rsid w:val="00E96978"/>
    <w:rsid w:val="00EA1974"/>
    <w:rsid w:val="00EB2C50"/>
    <w:rsid w:val="00EC5BD8"/>
    <w:rsid w:val="00EC5E20"/>
    <w:rsid w:val="00ED0831"/>
    <w:rsid w:val="00ED4302"/>
    <w:rsid w:val="00EE37B4"/>
    <w:rsid w:val="00EE4BDF"/>
    <w:rsid w:val="00EF1E28"/>
    <w:rsid w:val="00EF4D40"/>
    <w:rsid w:val="00F10956"/>
    <w:rsid w:val="00F13A51"/>
    <w:rsid w:val="00F2652D"/>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semiHidden/>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semiHidden/>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95807">
      <w:bodyDiv w:val="1"/>
      <w:marLeft w:val="0"/>
      <w:marRight w:val="0"/>
      <w:marTop w:val="0"/>
      <w:marBottom w:val="0"/>
      <w:divBdr>
        <w:top w:val="none" w:sz="0" w:space="0" w:color="auto"/>
        <w:left w:val="none" w:sz="0" w:space="0" w:color="auto"/>
        <w:bottom w:val="none" w:sz="0" w:space="0" w:color="auto"/>
        <w:right w:val="none" w:sz="0" w:space="0" w:color="auto"/>
      </w:divBdr>
      <w:divsChild>
        <w:div w:id="1296444715">
          <w:marLeft w:val="480"/>
          <w:marRight w:val="0"/>
          <w:marTop w:val="0"/>
          <w:marBottom w:val="0"/>
          <w:divBdr>
            <w:top w:val="none" w:sz="0" w:space="0" w:color="auto"/>
            <w:left w:val="none" w:sz="0" w:space="0" w:color="auto"/>
            <w:bottom w:val="none" w:sz="0" w:space="0" w:color="auto"/>
            <w:right w:val="none" w:sz="0" w:space="0" w:color="auto"/>
          </w:divBdr>
          <w:divsChild>
            <w:div w:id="2104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0925">
      <w:bodyDiv w:val="1"/>
      <w:marLeft w:val="0"/>
      <w:marRight w:val="0"/>
      <w:marTop w:val="0"/>
      <w:marBottom w:val="0"/>
      <w:divBdr>
        <w:top w:val="none" w:sz="0" w:space="0" w:color="auto"/>
        <w:left w:val="none" w:sz="0" w:space="0" w:color="auto"/>
        <w:bottom w:val="none" w:sz="0" w:space="0" w:color="auto"/>
        <w:right w:val="none" w:sz="0" w:space="0" w:color="auto"/>
      </w:divBdr>
      <w:divsChild>
        <w:div w:id="1856186390">
          <w:marLeft w:val="480"/>
          <w:marRight w:val="0"/>
          <w:marTop w:val="0"/>
          <w:marBottom w:val="0"/>
          <w:divBdr>
            <w:top w:val="none" w:sz="0" w:space="0" w:color="auto"/>
            <w:left w:val="none" w:sz="0" w:space="0" w:color="auto"/>
            <w:bottom w:val="none" w:sz="0" w:space="0" w:color="auto"/>
            <w:right w:val="none" w:sz="0" w:space="0" w:color="auto"/>
          </w:divBdr>
          <w:divsChild>
            <w:div w:id="300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59-022-01893-x"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38</Pages>
  <Words>7868</Words>
  <Characters>44853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63</cp:revision>
  <cp:lastPrinted>2022-10-26T19:13:00Z</cp:lastPrinted>
  <dcterms:created xsi:type="dcterms:W3CDTF">2022-03-07T20:11:00Z</dcterms:created>
  <dcterms:modified xsi:type="dcterms:W3CDTF">2022-11-07T15:31:00Z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