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S2</w:t>
      </w:r>
    </w:p>
    <w:p>
      <w:pPr>
        <w:pStyle w:val="Author"/>
      </w:pPr>
      <w:r>
        <w:t xml:space="preserve">Statistical</w:t>
      </w:r>
      <w:r>
        <w:t xml:space="preserve"> </w:t>
      </w:r>
      <w:r>
        <w:t xml:space="preserve">comparisons</w:t>
      </w:r>
      <w:r>
        <w:t xml:space="preserve"> </w:t>
      </w:r>
      <w:r>
        <w:t xml:space="preserve">of</w:t>
      </w:r>
      <w:r>
        <w:t xml:space="preserve"> </w:t>
      </w:r>
      <w:r>
        <w:t xml:space="preserve">distributions</w:t>
      </w:r>
      <w:r>
        <w:t xml:space="preserve"> </w:t>
      </w:r>
      <w:r>
        <w:t xml:space="preserve">in</w:t>
      </w:r>
      <w:r>
        <w:t xml:space="preserve"> </w:t>
      </w:r>
      <w:r>
        <w:t xml:space="preserve">Figure</w:t>
      </w:r>
      <w:r>
        <w:t xml:space="preserve"> </w:t>
      </w:r>
      <w:r>
        <w:t xml:space="preserve">4.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appendix-s2-table-s1."/>
    <w:p>
      <w:pPr>
        <w:pStyle w:val="Heading1"/>
      </w:pPr>
      <w:r>
        <w:t xml:space="preserve">Appendix S2 Table S1.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Res.Df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 of 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20.81904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35.42466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-14.60562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258.1708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iCs/>
          <w:i/>
        </w:rPr>
        <w:t xml:space="preserve">Appendix S2 Table S1.</w:t>
      </w:r>
      <w:r>
        <w:t xml:space="preserve"> </w:t>
      </w:r>
      <w:r>
        <w:t xml:space="preserve">ANOVA table comparing ordinary linear models of the form abs_log_ratio ~ syndrome and abs_log_ratio ~ 1. The fit incorporating syndrome is superior to the intercept-only model (p &lt; 0.0001).</w:t>
      </w:r>
    </w:p>
    <w:p>
      <w:r>
        <w:br w:type="page"/>
      </w:r>
    </w:p>
    <w:bookmarkEnd w:id="20"/>
    <w:bookmarkStart w:id="21" w:name="appendix-s2-table-s2"/>
    <w:p>
      <w:pPr>
        <w:pStyle w:val="Heading1"/>
      </w:pPr>
      <w:r>
        <w:t xml:space="preserve">Appendix S2 Table S2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categorical_fit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Coupled 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0.2012914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0.0089644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0.1836926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0.2188902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Decoupled trends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0.5587675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0.0137784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0.5317179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0.5858171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0.2203741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0.0109019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0.1989715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0.2417766</w:t>
            </w:r>
          </w:p>
        </w:tc>
      </w:tr>
    </w:tbl>
    <w:p>
      <w:pPr>
        <w:pStyle w:val="BodyText"/>
      </w:pPr>
      <w:r>
        <w:rPr>
          <w:bCs/>
          <w:b/>
        </w:rPr>
        <w:t xml:space="preserve">Appendix S2 Table S2.</w:t>
      </w:r>
      <w:r>
        <w:t xml:space="preserve"> </w:t>
      </w:r>
      <w:r>
        <w:t xml:space="preserve">Estimates (calculated using emmeans</w:t>
      </w:r>
      <w:r>
        <w:t xml:space="preserve"> </w:t>
      </w:r>
      <w:r>
        <w:t xml:space="preserve">(Lenth 2021)</w:t>
      </w:r>
      <w:r>
        <w:t xml:space="preserve">) for the mean absolute log ratio of mean mass for routes whose dynamics for biomass were best-described by different syndromes of change. Routes with decoupled long-term trends between biomass and individuals-driven dynamics have higher absolute log ratios (mean .56, 95% credible interval .53-.58) than routes with covarying trends in biomass and individual abundance (mean of .2; 95% interval .18-.22) or no detectable temporal trend (mean of .22; .2-.24).</w:t>
      </w:r>
    </w:p>
    <w:p>
      <w:r>
        <w:br w:type="page"/>
      </w:r>
    </w:p>
    <w:bookmarkEnd w:id="21"/>
    <w:bookmarkStart w:id="22" w:name="appendix-s2-table-s3"/>
    <w:p>
      <w:pPr>
        <w:pStyle w:val="Heading1"/>
      </w:pPr>
      <w:r>
        <w:t xml:space="preserve">Appendix S2 Table S3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308"/>
        <w:gridCol w:w="1102"/>
        <w:gridCol w:w="1002"/>
        <w:gridCol w:w="401"/>
        <w:gridCol w:w="1102"/>
        <w:gridCol w:w="100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Coupled trend - Decoupled trends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-0.3574762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0.0164379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-21.747096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Coupled trend - No 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-0.0190827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0.0141142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-1.352018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0.3669124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Decoupled trends - No 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0.3383935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0.0175697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19.260017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BodyText"/>
      </w:pPr>
      <w:r>
        <w:rPr>
          <w:bCs/>
          <w:b/>
        </w:rPr>
        <w:t xml:space="preserve">Appendix S2 Table S3</w:t>
      </w:r>
      <w:r>
        <w:t xml:space="preserve">. Contrasts for absolute log ratio of mean mass, calculated using emmeans</w:t>
      </w:r>
      <w:r>
        <w:t xml:space="preserve"> </w:t>
      </w:r>
      <w:r>
        <w:t xml:space="preserve">(Lenth 2021)</w:t>
      </w:r>
      <w:r>
        <w:t xml:space="preserve">. There is a significant contrast between routes with decoupled trends and the other two syndromes of dynamics (both contrasts, p &lt; 0.001), but not between routes showing the</w:t>
      </w:r>
      <w:r>
        <w:t xml:space="preserve"> </w:t>
      </w:r>
      <w:r>
        <w:t xml:space="preserve">“</w:t>
      </w:r>
      <w:r>
        <w:t xml:space="preserve">no trend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coupled trend</w:t>
      </w:r>
      <w:r>
        <w:t xml:space="preserve">”</w:t>
      </w:r>
      <w:r>
        <w:t xml:space="preserve"> </w:t>
      </w:r>
      <w:r>
        <w:t xml:space="preserve">syndromes (contrast p = .37).</w:t>
      </w:r>
    </w:p>
    <w:p>
      <w:r>
        <w:br w:type="page"/>
      </w:r>
    </w:p>
    <w:bookmarkEnd w:id="22"/>
    <w:bookmarkStart w:id="23" w:name="appendix-s2-table-s4"/>
    <w:p>
      <w:pPr>
        <w:pStyle w:val="Heading1"/>
      </w:pPr>
      <w:r>
        <w:t xml:space="preserve">Appendix S2 Table S4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Resid. 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Resid. Dev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Pr(&gt;Chi)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14.09240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14.28236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-0.1899672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0.9093878</w:t>
            </w:r>
          </w:p>
        </w:tc>
      </w:tr>
    </w:tbl>
    <w:p>
      <w:pPr>
        <w:pStyle w:val="BodyText"/>
      </w:pPr>
      <w:r>
        <w:rPr>
          <w:bCs/>
          <w:b/>
        </w:rPr>
        <w:t xml:space="preserve">Appendix S2 Table S4</w:t>
      </w:r>
      <w:r>
        <w:t xml:space="preserve">. ANOVA table comparing binomial generalized linear models of the form ISD_turnover ~ syndrome and ISD_turnover ~ 1. The model incorporating syndrome is not superior to the intercept-only model (p = .91).</w:t>
      </w:r>
    </w:p>
    <w:p>
      <w:r>
        <w:br w:type="page"/>
      </w:r>
    </w:p>
    <w:bookmarkEnd w:id="23"/>
    <w:bookmarkStart w:id="24" w:name="appendix-s2-table-s5"/>
    <w:p>
      <w:pPr>
        <w:pStyle w:val="Heading1"/>
      </w:pPr>
      <w:r>
        <w:t xml:space="preserve">Appendix S2 Table S5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Resid. 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Resid. Dev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Pr(&gt;Chi)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20.09178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22.11983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-2.028057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0.3627546</w:t>
            </w:r>
          </w:p>
        </w:tc>
      </w:tr>
    </w:tbl>
    <w:p>
      <w:pPr>
        <w:pStyle w:val="BodyText"/>
      </w:pPr>
      <w:r>
        <w:rPr>
          <w:bCs/>
          <w:b/>
        </w:rPr>
        <w:t xml:space="preserve">Appendix S2 Table S5</w:t>
      </w:r>
      <w:r>
        <w:t xml:space="preserve">. ANOVA table comparing binomial generalized linear models of the form Bray_Curtis_dissimilarity ~ syndrome and Bray_Curtis_dissimilarity ~ 1. The model incorporating syndrome is not superior to the intercept-only model (p = .36).</w:t>
      </w:r>
    </w:p>
    <w:p>
      <w:r>
        <w:br w:type="page"/>
      </w:r>
    </w:p>
    <w:bookmarkEnd w:id="24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Start w:id="25" w:name="ref-lenth2021"/>
    <w:p>
      <w:pPr>
        <w:pStyle w:val="Bibliography"/>
      </w:pPr>
      <w:r>
        <w:t xml:space="preserve">Lenth, R. V. 2021. Emmeans:</w:t>
      </w:r>
      <w:r>
        <w:t xml:space="preserve"> </w:t>
      </w:r>
      <w:r>
        <w:t xml:space="preserve">Estimated Marginal Means</w:t>
      </w:r>
      <w:r>
        <w:t xml:space="preserve">, aka</w:t>
      </w:r>
      <w:r>
        <w:t xml:space="preserve"> </w:t>
      </w:r>
      <w:r>
        <w:t xml:space="preserve">Least-Squares Means</w:t>
      </w:r>
      <w:r>
        <w:t xml:space="preserve">.</w:t>
      </w:r>
    </w:p>
    <w:bookmarkEnd w:id="25"/>
    <w:bookmarkEnd w:id="26"/>
    <w:bookmarkEnd w:id="27"/>
    <w:sectPr w:rsidR="00BC0F0B" w:rsidRPr="00F277A7">
      <w:pgSz w:h="15840" w:w="12240"/>
      <w:pgMar w:bottom="1440" w:footer="720" w:gutter="0" w:header="720" w:left="1440" w:right="1440" w:top="1440"/>
      <w:pgNumType w:start="1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Arial" w:eastAsia="Arial" w:hAnsi="Arial"/>
        <w:sz w:val="22"/>
        <w:szCs w:val="22"/>
        <w:lang w:bidi="ar-SA" w:eastAsia="en-US" w:val="en"/>
      </w:rPr>
    </w:rPrDefault>
    <w:pPrDefault>
      <w:pPr>
        <w:spacing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277A7"/>
    <w:pPr>
      <w:spacing w:after="120" w:before="120" w:line="480" w:lineRule="auto"/>
    </w:pPr>
    <w:rPr>
      <w:rFonts w:ascii="Times New Roman" w:cs="Times New Roman" w:hAnsi="Times New Roman"/>
      <w:sz w:val="24"/>
      <w:szCs w:val="24"/>
    </w:rPr>
  </w:style>
  <w:style w:styleId="Heading1" w:type="paragraph">
    <w:name w:val="heading 1"/>
    <w:basedOn w:val="Normal"/>
    <w:next w:val="Normal"/>
    <w:uiPriority w:val="9"/>
    <w:qFormat/>
    <w:rsid w:val="00C9745C"/>
    <w:pPr>
      <w:keepNext/>
      <w:keepLines/>
      <w:spacing w:after="240" w:line="240" w:lineRule="auto"/>
      <w:outlineLvl w:val="0"/>
    </w:pPr>
    <w:rPr>
      <w:b/>
    </w:rPr>
  </w:style>
  <w:style w:styleId="Heading2" w:type="paragraph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styleId="Heading3" w:type="paragraph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i/>
    </w:rPr>
  </w:style>
  <w:style w:styleId="Heading4" w:type="paragraph">
    <w:name w:val="heading 4"/>
    <w:basedOn w:val="Normal"/>
    <w:next w:val="Normal"/>
    <w:uiPriority w:val="9"/>
    <w:semiHidden/>
    <w:unhideWhenUsed/>
    <w:qFormat/>
    <w:pPr>
      <w:keepNext/>
      <w:keepLines/>
      <w:spacing w:after="80" w:before="280"/>
      <w:outlineLvl w:val="3"/>
    </w:pPr>
    <w:rPr>
      <w:color w:val="666666"/>
    </w:rPr>
  </w:style>
  <w:style w:styleId="Heading5" w:type="paragraph">
    <w:name w:val="heading 5"/>
    <w:basedOn w:val="Normal"/>
    <w:next w:val="Normal"/>
    <w:uiPriority w:val="9"/>
    <w:semiHidden/>
    <w:unhideWhenUsed/>
    <w:qFormat/>
    <w:pPr>
      <w:keepNext/>
      <w:keepLines/>
      <w:spacing w:after="80" w:before="240"/>
      <w:outlineLvl w:val="4"/>
    </w:pPr>
    <w:rPr>
      <w:color w:val="666666"/>
    </w:rPr>
  </w:style>
  <w:style w:styleId="Heading6" w:type="paragraph">
    <w:name w:val="heading 6"/>
    <w:basedOn w:val="Normal"/>
    <w:next w:val="Normal"/>
    <w:uiPriority w:val="9"/>
    <w:semiHidden/>
    <w:unhideWhenUsed/>
    <w:qFormat/>
    <w:pPr>
      <w:keepNext/>
      <w:keepLines/>
      <w:spacing w:after="80" w:before="240"/>
      <w:outlineLvl w:val="5"/>
    </w:pPr>
    <w:rPr>
      <w:i/>
      <w:color w:val="66666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uiPriority w:val="10"/>
    <w:qFormat/>
    <w:pPr>
      <w:keepNext/>
      <w:keepLines/>
      <w:spacing w:after="60" w:before="0"/>
    </w:pPr>
    <w:rPr>
      <w:sz w:val="52"/>
      <w:szCs w:val="52"/>
    </w:rPr>
  </w:style>
  <w:style w:styleId="Subtitle" w:type="paragraph">
    <w:name w:val="Subtitle"/>
    <w:basedOn w:val="Normal"/>
    <w:next w:val="Normal"/>
    <w:uiPriority w:val="11"/>
    <w:qFormat/>
    <w:pPr>
      <w:keepNext/>
      <w:keepLines/>
      <w:spacing w:after="320" w:before="0"/>
    </w:pPr>
    <w:rPr>
      <w:color w:val="666666"/>
      <w:sz w:val="30"/>
      <w:szCs w:val="3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S2</dc:title>
  <dc:creator>Statistical comparisons of distributions in Figure 4.</dc:creator>
  <cp:keywords/>
  <dcterms:created xsi:type="dcterms:W3CDTF">2022-11-08T15:30:00Z</dcterms:created>
  <dcterms:modified xsi:type="dcterms:W3CDTF">2022-11-08T15:30:00Z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refs.bib</vt:lpwstr>
  </property>
  <property fmtid="{D5CDD505-2E9C-101B-9397-08002B2CF9AE}" pid="3" name="csl">
    <vt:lpwstr>ref_template.csl</vt:lpwstr>
  </property>
  <property fmtid="{D5CDD505-2E9C-101B-9397-08002B2CF9AE}" pid="4" name="output">
    <vt:lpwstr/>
  </property>
</Properties>
</file>