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0.png" ContentType="image/png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figure-1."/>
    <w:p>
      <w:pPr>
        <w:pStyle w:val="Heading1"/>
      </w:pPr>
      <w:r>
        <w:t xml:space="preserve">Figure 1.</w:t>
      </w:r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in_figures_and_table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figure-1.-1"/>
    <w:p>
      <w:pPr>
        <w:pStyle w:val="Heading4"/>
      </w:pPr>
      <w:r>
        <w:t xml:space="preserve">Figure 1.</w:t>
      </w:r>
    </w:p>
    <w:p>
      <w:r>
        <w:br w:type="page"/>
      </w:r>
    </w:p>
    <w:p>
      <w:r>
        <w:br w:type="page"/>
      </w:r>
    </w:p>
    <w:bookmarkEnd w:id="23"/>
    <w:bookmarkEnd w:id="24"/>
    <w:bookmarkStart w:id="29" w:name="figure-2."/>
    <w:p>
      <w:pPr>
        <w:pStyle w:val="Heading1"/>
      </w:pPr>
      <w:r>
        <w:t xml:space="preserve">Figure 2.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ain_figures_and_tables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figure-2"/>
    <w:p>
      <w:pPr>
        <w:pStyle w:val="Heading4"/>
      </w:pPr>
      <w:r>
        <w:t xml:space="preserve">Figure 2</w:t>
      </w:r>
    </w:p>
    <w:p>
      <w:r>
        <w:br w:type="page"/>
      </w:r>
    </w:p>
    <w:bookmarkEnd w:id="28"/>
    <w:bookmarkEnd w:id="29"/>
    <w:bookmarkStart w:id="34" w:name="figure-3.-visualizing-decoupling"/>
    <w:p>
      <w:pPr>
        <w:pStyle w:val="Heading1"/>
      </w:pPr>
      <w:r>
        <w:t xml:space="preserve">Figure 3. Visualizing decoupling</w:t>
      </w:r>
    </w:p>
    <w:p>
      <w:pPr>
        <w:pStyle w:val="FirstParagraph"/>
      </w:pPr>
      <w:r>
        <w:drawing>
          <wp:inline>
            <wp:extent cx="5943600" cy="432261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ain_figures_and_tables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figure-3"/>
    <w:p>
      <w:pPr>
        <w:pStyle w:val="Heading4"/>
      </w:pPr>
      <w:r>
        <w:t xml:space="preserve">Figure 3</w:t>
      </w:r>
    </w:p>
    <w:p>
      <w:pPr>
        <w:pStyle w:val="FirstParagraph"/>
      </w:pPr>
    </w:p>
    <w:bookmarkEnd w:id="33"/>
    <w:bookmarkEnd w:id="34"/>
    <w:bookmarkStart w:id="39" w:name="figure-4"/>
    <w:p>
      <w:pPr>
        <w:pStyle w:val="Heading1"/>
      </w:pPr>
      <w:r>
        <w:t xml:space="preserve">Figure 4</w:t>
      </w:r>
    </w:p>
    <w:p>
      <w:pPr>
        <w:pStyle w:val="FirstParagraph"/>
      </w:pPr>
      <w:r>
        <w:drawing>
          <wp:inline>
            <wp:extent cx="5943600" cy="3714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ain_figures_and_tables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figure-4-1"/>
    <w:p>
      <w:pPr>
        <w:pStyle w:val="Heading4"/>
      </w:pPr>
      <w:r>
        <w:t xml:space="preserve">Figure 4</w:t>
      </w:r>
    </w:p>
    <w:p>
      <w:r>
        <w:br w:type="page"/>
      </w:r>
    </w:p>
    <w:bookmarkEnd w:id="38"/>
    <w:bookmarkEnd w:id="39"/>
    <w:bookmarkStart w:id="44" w:name="tables"/>
    <w:p>
      <w:pPr>
        <w:pStyle w:val="Heading1"/>
      </w:pPr>
      <w:r>
        <w:t xml:space="preserve">Tables</w:t>
      </w:r>
    </w:p>
    <w:bookmarkStart w:id="41" w:name="table-1."/>
    <w:p>
      <w:pPr>
        <w:pStyle w:val="Heading3"/>
      </w:pPr>
      <w:r>
        <w:t xml:space="preserve">Table 1.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71"/>
        <w:gridCol w:w="2188"/>
        <w:gridCol w:w="1771"/>
        <w:gridCol w:w="21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Currency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Selected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of routes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 of routes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biomass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Intercept-only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biomass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Trend, not decoupled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biomass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Decoupled 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energy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Intercept-only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energy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Trend, not decoupled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energy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Decoupled 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bookmarkStart w:id="40" w:name="table-1"/>
    <w:p>
      <w:pPr>
        <w:pStyle w:val="Heading4"/>
      </w:pPr>
      <w:r>
        <w:t xml:space="preserve">Table 1</w:t>
      </w:r>
    </w:p>
    <w:p>
      <w:pPr>
        <w:pStyle w:val="FirstParagraph"/>
      </w:pPr>
      <w:r>
        <w:t xml:space="preserve">Table of the number and proportion of routes whose dynamics for total biomass and total energy use are best described by the following syndromes: no directional change (intercept-only model, biomass ~ 1 or energy use ~ 1); a coupled trend (biomass ~ year or energy use ~ year); or a model with decoupled temporal trends for observed and individuals-driven dynamics (biomass ~ year * dynamics or energy use ~ year * dynamics, where dynamics refers to observed or null model, individuals-driven dynamics).</w:t>
      </w:r>
    </w:p>
    <w:p>
      <w:pPr>
        <w:pStyle w:val="BodyText"/>
      </w:pPr>
      <w:r>
        <w:t xml:space="preserve">31-32% of routes are best described as syndromes of</w:t>
      </w:r>
      <w:r>
        <w:t xml:space="preserve"> </w:t>
      </w:r>
      <w:r>
        <w:t xml:space="preserve">“</w:t>
      </w:r>
      <w:r>
        <w:t xml:space="preserve">No directional change</w:t>
      </w:r>
      <w:r>
        <w:t xml:space="preserve">”</w:t>
      </w:r>
      <w:r>
        <w:t xml:space="preserve"> </w:t>
      </w:r>
      <w:r>
        <w:t xml:space="preserve">(intercept-only models). For the remaining routes, in most instances, the dynamics of biomass and energy use exhibit a temporal trend, but with no detectable difference in the temporal trends for individuals-driven and observed dynamics (</w:t>
      </w:r>
      <w:r>
        <w:t xml:space="preserve">“</w:t>
      </w:r>
      <w:r>
        <w:t xml:space="preserve">Coupled trends</w:t>
      </w:r>
      <w:r>
        <w:t xml:space="preserve">”</w:t>
      </w:r>
      <w:r>
        <w:t xml:space="preserve">). However, for a substantial minority of routes (20% overall for biomass, or 30% of routes with a temporal trend; 7% overall for energy use, or 10% of routes with a temporal trend), there is a detectable deviation between the trends expected due only to changes in abundance and the observed dynamics (</w:t>
      </w:r>
      <w:r>
        <w:t xml:space="preserve">“</w:t>
      </w:r>
      <w:r>
        <w:t xml:space="preserve">Decoupled trends</w:t>
      </w:r>
      <w:r>
        <w:t xml:space="preserve">”</w:t>
      </w:r>
      <w:r>
        <w:t xml:space="preserve">).</w:t>
      </w:r>
    </w:p>
    <w:p>
      <w:r>
        <w:br w:type="page"/>
      </w:r>
    </w:p>
    <w:bookmarkEnd w:id="40"/>
    <w:bookmarkEnd w:id="41"/>
    <w:bookmarkStart w:id="43" w:name="table-2."/>
    <w:p>
      <w:pPr>
        <w:pStyle w:val="Heading3"/>
      </w:pPr>
      <w:r>
        <w:t xml:space="preserve">Table 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5"/>
        <w:gridCol w:w="2747"/>
        <w:gridCol w:w="2208"/>
        <w:gridCol w:w="20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Currency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 of increasing individuals-driven trends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 of increasing observed trends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of routes with temporal trends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biomass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energy use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</w:t>
            </w:r>
          </w:p>
        </w:tc>
      </w:tr>
    </w:tbl>
    <w:bookmarkStart w:id="42" w:name="table-2"/>
    <w:p>
      <w:pPr>
        <w:pStyle w:val="Heading4"/>
      </w:pPr>
      <w:r>
        <w:t xml:space="preserve">Table 2</w:t>
      </w:r>
    </w:p>
    <w:p>
      <w:pPr>
        <w:pStyle w:val="FirstParagraph"/>
      </w:pPr>
      <w:r>
        <w:t xml:space="preserve">The proportion of trends that are increasing (specifically, for which the ratio of the last fitted value to the first fitted value &gt; 1) for individuals-driven and observed dynamics, for routes exhibiting temporal trends (</w:t>
      </w:r>
      <w:r>
        <w:t xml:space="preserve">“</w:t>
      </w:r>
      <w:r>
        <w:t xml:space="preserve">coupled trends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decoupled trends</w:t>
      </w:r>
      <w:r>
        <w:t xml:space="preserve">”</w:t>
      </w:r>
      <w:r>
        <w:t xml:space="preserve">) in total biomass and total energy use (for biomass, n = 501; for energy use, n = 509). Trends that are not increasing are decreasing.</w:t>
      </w:r>
    </w:p>
    <w:p>
      <w:pPr>
        <w:pStyle w:val="BodyText"/>
      </w:pPr>
      <w:r>
        <w:t xml:space="preserve">Trends in individuals-driven dynamics are dominated by declines (67% of routes for total biomass, and 70% of routes for total energy). Observed dynamics for biomass differ qualitatively from the individuals-driven dynamics. Specifically, observed trends in biomass are evenly divided between increases and decreases (49% increasing). Observed trends in energy use more closely mirror individuals-driven trends (65% declines).</w:t>
      </w:r>
    </w:p>
    <w:bookmarkEnd w:id="42"/>
    <w:bookmarkEnd w:id="43"/>
    <w:bookmarkEnd w:id="44"/>
    <w:sectPr w:rsidR="00BC0F0B" w:rsidRPr="00F277A7">
      <w:pgSz w:h="15840" w:w="12240"/>
      <w:pgMar w:bottom="1440" w:footer="720" w:gutter="0" w:header="720" w:left="1440" w:right="1440" w:top="144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Arial" w:hAnsi="Arial"/>
        <w:sz w:val="22"/>
        <w:szCs w:val="22"/>
        <w:lang w:bidi="ar-SA" w:eastAsia="en-US" w:val="en"/>
      </w:rPr>
    </w:rPrDefault>
    <w:pPrDefault>
      <w:pPr>
        <w:spacing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277A7"/>
    <w:pPr>
      <w:spacing w:after="120" w:before="120" w:line="480" w:lineRule="auto"/>
    </w:pPr>
    <w:rPr>
      <w:rFonts w:ascii="Times New Roman" w:cs="Times New Roman" w:hAnsi="Times New Roman"/>
      <w:sz w:val="24"/>
      <w:szCs w:val="24"/>
    </w:rPr>
  </w:style>
  <w:style w:styleId="Heading1" w:type="paragraph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styleId="Heading2" w:type="paragraph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styleId="Heading3" w:type="paragraph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styleId="Heading4" w:type="paragraph">
    <w:name w:val="heading 4"/>
    <w:basedOn w:val="Normal"/>
    <w:next w:val="Normal"/>
    <w:uiPriority w:val="9"/>
    <w:semiHidden/>
    <w:unhideWhenUsed/>
    <w:qFormat/>
    <w:pPr>
      <w:keepNext/>
      <w:keepLines/>
      <w:spacing w:after="80" w:before="280"/>
      <w:outlineLvl w:val="3"/>
    </w:pPr>
    <w:rPr>
      <w:color w:val="666666"/>
    </w:rPr>
  </w:style>
  <w:style w:styleId="Heading5" w:type="paragraph">
    <w:name w:val="heading 5"/>
    <w:basedOn w:val="Normal"/>
    <w:next w:val="Normal"/>
    <w:uiPriority w:val="9"/>
    <w:semiHidden/>
    <w:unhideWhenUsed/>
    <w:qFormat/>
    <w:pPr>
      <w:keepNext/>
      <w:keepLines/>
      <w:spacing w:after="80" w:before="240"/>
      <w:outlineLvl w:val="4"/>
    </w:pPr>
    <w:rPr>
      <w:color w:val="666666"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80" w:before="240"/>
      <w:outlineLvl w:val="5"/>
    </w:pPr>
    <w:rPr>
      <w:i/>
      <w:color w:val="66666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uiPriority w:val="10"/>
    <w:qFormat/>
    <w:pPr>
      <w:keepNext/>
      <w:keepLines/>
      <w:spacing w:after="60" w:before="0"/>
    </w:pPr>
    <w:rPr>
      <w:sz w:val="52"/>
      <w:szCs w:val="52"/>
    </w:rPr>
  </w:style>
  <w:style w:styleId="Subtitle" w:type="paragraph">
    <w:name w:val="Subtitle"/>
    <w:basedOn w:val="Normal"/>
    <w:next w:val="Normal"/>
    <w:uiPriority w:val="11"/>
    <w:qFormat/>
    <w:pPr>
      <w:keepNext/>
      <w:keepLines/>
      <w:spacing w:after="320" w:before="0"/>
    </w:pPr>
    <w:rPr>
      <w:color w:val="666666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2022-11-08T15:35:04Z</dcterms:created>
  <dcterms:modified xsi:type="dcterms:W3CDTF">2022-11-08T15:35:04Z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ref_template.csl</vt:lpwstr>
  </property>
  <property fmtid="{D5CDD505-2E9C-101B-9397-08002B2CF9AE}" pid="4" name="output">
    <vt:lpwstr/>
  </property>
</Properties>
</file>