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A6" w:rsidRDefault="001F07A6">
      <w:pPr>
        <w:pStyle w:val="Title"/>
        <w:jc w:val="center"/>
        <w:rPr>
          <w:color w:val="0070C0"/>
        </w:rPr>
      </w:pPr>
      <w:r>
        <w:rPr>
          <w:b/>
          <w:color w:val="0070C0"/>
        </w:rPr>
        <w:t>CREDIBLE SCIENCE</w:t>
      </w:r>
      <w:r>
        <w:rPr>
          <w:color w:val="0070C0"/>
        </w:rPr>
        <w:t>:  Key Points Worksheet 2</w:t>
      </w:r>
    </w:p>
    <w:p w:rsidR="006813A6" w:rsidRDefault="001F07A6">
      <w:pPr>
        <w:pStyle w:val="Subtitle"/>
        <w:spacing w:after="0"/>
        <w:jc w:val="center"/>
        <w:rPr>
          <w:b/>
          <w:color w:val="0070C0"/>
          <w:sz w:val="40"/>
          <w:szCs w:val="40"/>
        </w:rPr>
      </w:pPr>
      <w:r>
        <w:rPr>
          <w:b/>
          <w:color w:val="0070C0"/>
          <w:sz w:val="40"/>
          <w:szCs w:val="40"/>
        </w:rPr>
        <w:t>Preregistration</w:t>
      </w:r>
    </w:p>
    <w:p w:rsidR="006813A6" w:rsidRDefault="001F07A6">
      <w:pPr>
        <w:pStyle w:val="Subtitle"/>
        <w:jc w:val="center"/>
        <w:rPr>
          <w:color w:val="EA6312"/>
        </w:rPr>
      </w:pPr>
      <w:r>
        <w:rPr>
          <w:color w:val="EA6312"/>
        </w:rPr>
        <w:t>Submit your completed worksheet to the Canvas assignment</w:t>
      </w:r>
    </w:p>
    <w:p w:rsidR="006813A6" w:rsidRDefault="001F07A6">
      <w:pPr>
        <w:pStyle w:val="Heading1"/>
        <w:shd w:val="clear" w:color="auto" w:fill="FFFFFF"/>
        <w:rPr>
          <w:color w:val="2A2A2A"/>
          <w:sz w:val="48"/>
          <w:szCs w:val="48"/>
        </w:rPr>
      </w:pPr>
      <w:r>
        <w:t>“</w:t>
      </w:r>
      <w:hyperlink r:id="rId8">
        <w:r>
          <w:rPr>
            <w:color w:val="1155CC"/>
            <w:u w:val="single"/>
          </w:rPr>
          <w:t>The preregistration revolution</w:t>
        </w:r>
      </w:hyperlink>
      <w:r>
        <w:t>”</w:t>
      </w:r>
    </w:p>
    <w:p w:rsidR="006813A6" w:rsidRDefault="001F07A6">
      <w:pPr>
        <w:jc w:val="both"/>
      </w:pPr>
      <w:proofErr w:type="spellStart"/>
      <w:r>
        <w:t>Nosek</w:t>
      </w:r>
      <w:proofErr w:type="spellEnd"/>
      <w:r>
        <w:t xml:space="preserve"> and colleagues distinguish prediction and </w:t>
      </w:r>
      <w:proofErr w:type="spellStart"/>
      <w:r>
        <w:t>postdiction</w:t>
      </w:r>
      <w:proofErr w:type="spellEnd"/>
      <w:r>
        <w:t xml:space="preserve"> and highlight the advantage of preregistration to prevent hindsight bias (</w:t>
      </w:r>
      <w:proofErr w:type="spellStart"/>
      <w:r>
        <w:t>Nosek</w:t>
      </w:r>
      <w:proofErr w:type="spellEnd"/>
      <w:r>
        <w:t xml:space="preserve"> et al. 2018).</w:t>
      </w:r>
    </w:p>
    <w:p w:rsidR="006813A6" w:rsidRDefault="001F07A6">
      <w:pPr>
        <w:jc w:val="both"/>
      </w:pPr>
      <w:r>
        <w:t>Describe at least one situation you find plausible where unintentional hindsight bias could lead to pu</w:t>
      </w:r>
      <w:r>
        <w:t>blishing false positive results.</w:t>
      </w:r>
    </w:p>
    <w:p w:rsidR="006813A6" w:rsidRDefault="006813A6">
      <w:pPr>
        <w:jc w:val="both"/>
      </w:pPr>
    </w:p>
    <w:p w:rsidR="006813A6" w:rsidRDefault="006813A6">
      <w:pPr>
        <w:jc w:val="both"/>
      </w:pPr>
    </w:p>
    <w:p w:rsidR="006813A6" w:rsidRDefault="001F07A6">
      <w:pPr>
        <w:jc w:val="both"/>
      </w:pPr>
      <w:r>
        <w:t xml:space="preserve">They argue that one dataset should not be used both for generating and then testing a hypothesis. </w:t>
      </w:r>
    </w:p>
    <w:p w:rsidR="006813A6" w:rsidRDefault="001F07A6">
      <w:pPr>
        <w:jc w:val="both"/>
      </w:pPr>
      <w:r>
        <w:t xml:space="preserve">Place the phrases below into the boxes to construct a diagram of a scientific process matching what they propose. You can </w:t>
      </w:r>
      <w:r>
        <w:t>also draw any other diagram shape and use other words, and take a picture of it and paste it here, as long as it matches their argument.</w:t>
      </w:r>
    </w:p>
    <w:p w:rsidR="006813A6" w:rsidRDefault="001F07A6">
      <w:pPr>
        <w:numPr>
          <w:ilvl w:val="0"/>
          <w:numId w:val="1"/>
        </w:numPr>
        <w:spacing w:before="0" w:after="0"/>
        <w:jc w:val="both"/>
        <w:rPr>
          <w:b/>
        </w:rPr>
      </w:pPr>
      <w:r>
        <w:rPr>
          <w:b/>
        </w:rPr>
        <w:t>Preregister confirmatory analysis</w:t>
      </w:r>
    </w:p>
    <w:p w:rsidR="006813A6" w:rsidRDefault="001F07A6">
      <w:pPr>
        <w:numPr>
          <w:ilvl w:val="0"/>
          <w:numId w:val="1"/>
        </w:numPr>
        <w:spacing w:before="0" w:after="0"/>
        <w:jc w:val="both"/>
        <w:rPr>
          <w:b/>
        </w:rPr>
      </w:pPr>
      <w:r>
        <w:rPr>
          <w:b/>
        </w:rPr>
        <w:t>Generate new hypothesis</w:t>
      </w:r>
    </w:p>
    <w:p w:rsidR="006813A6" w:rsidRDefault="001F07A6">
      <w:pPr>
        <w:numPr>
          <w:ilvl w:val="0"/>
          <w:numId w:val="1"/>
        </w:numPr>
        <w:spacing w:before="0" w:after="0"/>
        <w:jc w:val="both"/>
        <w:rPr>
          <w:b/>
        </w:rPr>
      </w:pPr>
      <w:r>
        <w:rPr>
          <w:b/>
        </w:rPr>
        <w:t xml:space="preserve">Test hypothesis with new dataset </w:t>
      </w:r>
    </w:p>
    <w:p w:rsidR="006813A6" w:rsidRDefault="001F07A6">
      <w:pPr>
        <w:numPr>
          <w:ilvl w:val="0"/>
          <w:numId w:val="1"/>
        </w:numPr>
        <w:spacing w:before="0" w:after="0"/>
        <w:jc w:val="both"/>
        <w:rPr>
          <w:b/>
        </w:rPr>
      </w:pPr>
      <w:r>
        <w:rPr>
          <w:b/>
        </w:rPr>
        <w:t>Collect/generate new datase</w:t>
      </w:r>
      <w:r>
        <w:rPr>
          <w:b/>
        </w:rPr>
        <w:t>t</w:t>
      </w:r>
    </w:p>
    <w:p w:rsidR="006813A6" w:rsidRDefault="001F07A6">
      <w:pPr>
        <w:numPr>
          <w:ilvl w:val="0"/>
          <w:numId w:val="1"/>
        </w:numPr>
        <w:spacing w:before="0" w:after="0"/>
        <w:jc w:val="both"/>
        <w:rPr>
          <w:b/>
        </w:rPr>
      </w:pPr>
      <w:r>
        <w:rPr>
          <w:b/>
        </w:rPr>
        <w:t>Use exploratory analyses to examine all data collected to date</w:t>
      </w:r>
      <w:r>
        <w:t xml:space="preserve"> </w:t>
      </w:r>
    </w:p>
    <w:p w:rsidR="006813A6" w:rsidRDefault="006813A6">
      <w:pPr>
        <w:spacing w:before="0" w:after="0"/>
        <w:ind w:left="720"/>
        <w:jc w:val="both"/>
      </w:pPr>
    </w:p>
    <w:p w:rsidR="006813A6" w:rsidRDefault="00836454">
      <w:pPr>
        <w:spacing w:before="0" w:after="0"/>
        <w:jc w:val="center"/>
      </w:pPr>
      <w:r>
        <w:rPr>
          <w:noProof/>
        </w:rPr>
        <w:drawing>
          <wp:inline distT="0" distB="0" distL="0" distR="0" wp14:anchorId="731608B0" wp14:editId="2F582AC5">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p w:rsidR="006813A6" w:rsidRDefault="001F07A6">
      <w:pPr>
        <w:jc w:val="both"/>
      </w:pPr>
      <w:r>
        <w:lastRenderedPageBreak/>
        <w:t>Describe in your own word the challenge(s) that you think may apply most to you, or that you fear most, and consider the feasibility of the procedures proposed to alleviate this/these cha</w:t>
      </w:r>
      <w:r>
        <w:t>llenge(s).</w:t>
      </w:r>
    </w:p>
    <w:p w:rsidR="006813A6" w:rsidRDefault="006813A6">
      <w:pPr>
        <w:jc w:val="both"/>
        <w:rPr>
          <w:b/>
        </w:rPr>
      </w:pPr>
    </w:p>
    <w:p w:rsidR="006813A6" w:rsidRDefault="006813A6">
      <w:pPr>
        <w:jc w:val="both"/>
        <w:rPr>
          <w:b/>
        </w:rPr>
      </w:pPr>
    </w:p>
    <w:p w:rsidR="006813A6" w:rsidRDefault="001F07A6">
      <w:pPr>
        <w:jc w:val="both"/>
      </w:pPr>
      <w:r>
        <w:t>Describe the incentive for preregistration that you would value most and assess its current strength.</w:t>
      </w:r>
    </w:p>
    <w:p w:rsidR="006813A6" w:rsidRDefault="006813A6">
      <w:pPr>
        <w:rPr>
          <w:b/>
        </w:rPr>
      </w:pPr>
      <w:bookmarkStart w:id="1" w:name="_gjdgxs" w:colFirst="0" w:colLast="0"/>
      <w:bookmarkEnd w:id="1"/>
    </w:p>
    <w:p w:rsidR="006813A6" w:rsidRDefault="006813A6">
      <w:pPr>
        <w:rPr>
          <w:b/>
        </w:rPr>
      </w:pPr>
      <w:bookmarkStart w:id="2" w:name="_igy6e87n0ne9" w:colFirst="0" w:colLast="0"/>
      <w:bookmarkEnd w:id="2"/>
    </w:p>
    <w:p w:rsidR="006813A6" w:rsidRDefault="001F07A6">
      <w:pPr>
        <w:pStyle w:val="Heading1"/>
        <w:jc w:val="both"/>
      </w:pPr>
      <w:r>
        <w:t>“</w:t>
      </w:r>
      <w:hyperlink r:id="rId14">
        <w:r>
          <w:rPr>
            <w:color w:val="1155CC"/>
            <w:u w:val="single"/>
          </w:rPr>
          <w:t>Thoughts on preregistering my research</w:t>
        </w:r>
      </w:hyperlink>
      <w:r>
        <w:t>”</w:t>
      </w:r>
    </w:p>
    <w:p w:rsidR="006813A6" w:rsidRDefault="001F07A6">
      <w:pPr>
        <w:jc w:val="both"/>
      </w:pPr>
      <w:r>
        <w:t xml:space="preserve">Margaret </w:t>
      </w:r>
      <w:proofErr w:type="spellStart"/>
      <w:r>
        <w:t>Kosmala</w:t>
      </w:r>
      <w:proofErr w:type="spellEnd"/>
      <w:r>
        <w:t xml:space="preserve">, a post-doctoral fellow, describes her experience with </w:t>
      </w:r>
      <w:proofErr w:type="gramStart"/>
      <w:r>
        <w:t>preregistering</w:t>
      </w:r>
      <w:proofErr w:type="gramEnd"/>
      <w:r>
        <w:t xml:space="preserve"> her study (</w:t>
      </w:r>
      <w:proofErr w:type="spellStart"/>
      <w:r>
        <w:t>Kosmala</w:t>
      </w:r>
      <w:proofErr w:type="spellEnd"/>
      <w:r>
        <w:t xml:space="preserve"> 2016).</w:t>
      </w:r>
    </w:p>
    <w:p w:rsidR="006813A6" w:rsidRDefault="001F07A6">
      <w:pPr>
        <w:jc w:val="both"/>
      </w:pPr>
      <w:r>
        <w:t>List the three drawbacks she mentions.</w:t>
      </w:r>
    </w:p>
    <w:p w:rsidR="006813A6" w:rsidRDefault="006813A6">
      <w:pPr>
        <w:jc w:val="both"/>
        <w:rPr>
          <w:b/>
        </w:rPr>
      </w:pPr>
    </w:p>
    <w:p w:rsidR="006813A6" w:rsidRDefault="006813A6">
      <w:pPr>
        <w:jc w:val="both"/>
        <w:rPr>
          <w:b/>
        </w:rPr>
      </w:pPr>
    </w:p>
    <w:p w:rsidR="006813A6" w:rsidRDefault="001F07A6">
      <w:pPr>
        <w:jc w:val="both"/>
      </w:pPr>
      <w:r>
        <w:t>List at least two of the associated benefits that come with so</w:t>
      </w:r>
      <w:r>
        <w:t>me of those drawbacks</w:t>
      </w:r>
    </w:p>
    <w:p w:rsidR="006813A6" w:rsidRDefault="006813A6">
      <w:pPr>
        <w:jc w:val="both"/>
        <w:rPr>
          <w:b/>
        </w:rPr>
      </w:pPr>
    </w:p>
    <w:p w:rsidR="006813A6" w:rsidRDefault="006813A6">
      <w:pPr>
        <w:jc w:val="both"/>
        <w:rPr>
          <w:b/>
        </w:rPr>
      </w:pPr>
    </w:p>
    <w:p w:rsidR="006813A6" w:rsidRDefault="006813A6">
      <w:pPr>
        <w:jc w:val="both"/>
        <w:rPr>
          <w:b/>
        </w:rPr>
      </w:pPr>
    </w:p>
    <w:p w:rsidR="006813A6" w:rsidRDefault="001F07A6">
      <w:pPr>
        <w:pStyle w:val="Heading1"/>
        <w:jc w:val="both"/>
      </w:pPr>
      <w:r>
        <w:t>References</w:t>
      </w:r>
    </w:p>
    <w:p w:rsidR="006813A6" w:rsidRDefault="001F07A6">
      <w:pPr>
        <w:shd w:val="clear" w:color="auto" w:fill="FFFFFF"/>
        <w:spacing w:after="0"/>
      </w:pPr>
      <w:proofErr w:type="spellStart"/>
      <w:r>
        <w:t>Kosmala</w:t>
      </w:r>
      <w:proofErr w:type="spellEnd"/>
      <w:r>
        <w:t xml:space="preserve"> M. 2016. Thoughts on </w:t>
      </w:r>
      <w:proofErr w:type="gramStart"/>
      <w:r>
        <w:t>preregistering</w:t>
      </w:r>
      <w:proofErr w:type="gramEnd"/>
      <w:r>
        <w:t xml:space="preserve"> my research. </w:t>
      </w:r>
      <w:proofErr w:type="gramStart"/>
      <w:r>
        <w:t>Blog post on Ecology Bits.</w:t>
      </w:r>
      <w:proofErr w:type="gramEnd"/>
      <w:r>
        <w:t xml:space="preserve"> </w:t>
      </w:r>
      <w:hyperlink r:id="rId15">
        <w:r>
          <w:rPr>
            <w:color w:val="1155CC"/>
            <w:u w:val="single"/>
          </w:rPr>
          <w:t>http://ecologybits.com/index.php/2016/11/16/thoughts-on-preregistering-my-research/</w:t>
        </w:r>
      </w:hyperlink>
      <w:r>
        <w:rPr>
          <w:color w:val="1155CC"/>
        </w:rPr>
        <w:t xml:space="preserve"> </w:t>
      </w:r>
      <w:r>
        <w:t>Accessed November 27 2018.</w:t>
      </w:r>
    </w:p>
    <w:p w:rsidR="006813A6" w:rsidRDefault="001F07A6">
      <w:pPr>
        <w:shd w:val="clear" w:color="auto" w:fill="FFFFFF"/>
        <w:spacing w:after="0"/>
      </w:pPr>
      <w:proofErr w:type="spellStart"/>
      <w:r>
        <w:t>Nosek</w:t>
      </w:r>
      <w:proofErr w:type="spellEnd"/>
      <w:r>
        <w:t xml:space="preserve">, B. A., et al. 2018. </w:t>
      </w:r>
      <w:proofErr w:type="gramStart"/>
      <w:r>
        <w:t>The preregistration revolution.</w:t>
      </w:r>
      <w:proofErr w:type="gramEnd"/>
      <w:r>
        <w:t xml:space="preserve"> </w:t>
      </w:r>
      <w:r>
        <w:rPr>
          <w:b/>
          <w:i/>
        </w:rPr>
        <w:t>Proceedings of the National Academy of Sciences</w:t>
      </w:r>
      <w:r>
        <w:t xml:space="preserve"> 115(11): 2600.</w:t>
      </w:r>
    </w:p>
    <w:p w:rsidR="006813A6" w:rsidRDefault="006813A6"/>
    <w:p w:rsidR="006813A6" w:rsidRDefault="006813A6"/>
    <w:sectPr w:rsidR="006813A6">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7A6" w:rsidRDefault="001F07A6">
      <w:pPr>
        <w:spacing w:before="0" w:after="0"/>
      </w:pPr>
      <w:r>
        <w:separator/>
      </w:r>
    </w:p>
  </w:endnote>
  <w:endnote w:type="continuationSeparator" w:id="0">
    <w:p w:rsidR="001F07A6" w:rsidRDefault="001F07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A6" w:rsidRDefault="001F07A6">
    <w:pPr>
      <w:pBdr>
        <w:top w:val="nil"/>
        <w:left w:val="nil"/>
        <w:bottom w:val="nil"/>
        <w:right w:val="nil"/>
        <w:between w:val="nil"/>
      </w:pBdr>
      <w:tabs>
        <w:tab w:val="center" w:pos="4680"/>
        <w:tab w:val="right" w:pos="9360"/>
      </w:tabs>
      <w:spacing w:before="0" w:after="0"/>
      <w:jc w:val="right"/>
      <w:rPr>
        <w:color w:val="000000"/>
      </w:rPr>
    </w:pPr>
    <w:r>
      <w:rPr>
        <w:color w:val="000000"/>
      </w:rPr>
      <w:fldChar w:fldCharType="begin"/>
    </w:r>
    <w:r>
      <w:rPr>
        <w:color w:val="000000"/>
      </w:rPr>
      <w:instrText>PAGE</w:instrText>
    </w:r>
    <w:r w:rsidR="00836454">
      <w:rPr>
        <w:color w:val="000000"/>
      </w:rPr>
      <w:fldChar w:fldCharType="separate"/>
    </w:r>
    <w:r w:rsidR="00836454">
      <w:rPr>
        <w:noProof/>
        <w:color w:val="000000"/>
      </w:rPr>
      <w:t>2</w:t>
    </w:r>
    <w:r>
      <w:rPr>
        <w:color w:val="000000"/>
      </w:rPr>
      <w:fldChar w:fldCharType="end"/>
    </w:r>
  </w:p>
  <w:p w:rsidR="006813A6" w:rsidRDefault="006813A6">
    <w:pPr>
      <w:pBdr>
        <w:top w:val="nil"/>
        <w:left w:val="nil"/>
        <w:bottom w:val="nil"/>
        <w:right w:val="nil"/>
        <w:between w:val="nil"/>
      </w:pBdr>
      <w:tabs>
        <w:tab w:val="center" w:pos="4680"/>
        <w:tab w:val="right" w:pos="9360"/>
      </w:tabs>
      <w:spacing w:before="0"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7A6" w:rsidRDefault="001F07A6">
      <w:pPr>
        <w:spacing w:before="0" w:after="0"/>
      </w:pPr>
      <w:r>
        <w:separator/>
      </w:r>
    </w:p>
  </w:footnote>
  <w:footnote w:type="continuationSeparator" w:id="0">
    <w:p w:rsidR="001F07A6" w:rsidRDefault="001F07A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C38B8"/>
    <w:multiLevelType w:val="multilevel"/>
    <w:tmpl w:val="6C6AA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3A6"/>
    <w:rsid w:val="001F07A6"/>
    <w:rsid w:val="006813A6"/>
    <w:rsid w:val="0083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pPr>
        <w:spacing w:before="100"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bottom w:val="single" w:sz="8" w:space="0" w:color="3A3A3A"/>
      </w:pBdr>
      <w:spacing w:before="360" w:after="0"/>
      <w:outlineLvl w:val="0"/>
    </w:pPr>
    <w:rPr>
      <w:smallCaps/>
      <w:color w:val="171717"/>
    </w:rPr>
  </w:style>
  <w:style w:type="paragraph" w:styleId="Heading2">
    <w:name w:val="heading 2"/>
    <w:basedOn w:val="Normal"/>
    <w:next w:val="Normal"/>
    <w:pPr>
      <w:pBdr>
        <w:top w:val="single" w:sz="24" w:space="0" w:color="F8BCBA"/>
        <w:left w:val="single" w:sz="24" w:space="0" w:color="F8BCBA"/>
        <w:bottom w:val="single" w:sz="24" w:space="0" w:color="F8BCBA"/>
        <w:right w:val="single" w:sz="24" w:space="0" w:color="F8BCBA"/>
      </w:pBdr>
      <w:shd w:val="clear" w:color="auto" w:fill="F8BCBA"/>
      <w:spacing w:after="0"/>
      <w:outlineLvl w:val="1"/>
    </w:pPr>
    <w:rPr>
      <w:smallCaps/>
    </w:rPr>
  </w:style>
  <w:style w:type="paragraph" w:styleId="Heading3">
    <w:name w:val="heading 3"/>
    <w:basedOn w:val="Normal"/>
    <w:next w:val="Normal"/>
    <w:pPr>
      <w:pBdr>
        <w:top w:val="single" w:sz="6" w:space="2" w:color="7D0E0C"/>
      </w:pBdr>
      <w:spacing w:before="300" w:after="0"/>
      <w:outlineLvl w:val="2"/>
    </w:pPr>
    <w:rPr>
      <w:smallCaps/>
      <w:color w:val="3E0605"/>
    </w:rPr>
  </w:style>
  <w:style w:type="paragraph" w:styleId="Heading4">
    <w:name w:val="heading 4"/>
    <w:basedOn w:val="Normal"/>
    <w:next w:val="Normal"/>
    <w:pPr>
      <w:pBdr>
        <w:top w:val="dotted" w:sz="6" w:space="2" w:color="7D0E0C"/>
      </w:pBdr>
      <w:spacing w:before="200" w:after="0"/>
      <w:outlineLvl w:val="3"/>
    </w:pPr>
    <w:rPr>
      <w:smallCaps/>
      <w:color w:val="5D0A08"/>
    </w:rPr>
  </w:style>
  <w:style w:type="paragraph" w:styleId="Heading5">
    <w:name w:val="heading 5"/>
    <w:basedOn w:val="Normal"/>
    <w:next w:val="Normal"/>
    <w:pPr>
      <w:pBdr>
        <w:bottom w:val="single" w:sz="6" w:space="1" w:color="7D0E0C"/>
      </w:pBdr>
      <w:spacing w:before="200" w:after="0"/>
      <w:outlineLvl w:val="4"/>
    </w:pPr>
    <w:rPr>
      <w:smallCaps/>
      <w:color w:val="5D0A08"/>
    </w:rPr>
  </w:style>
  <w:style w:type="paragraph" w:styleId="Heading6">
    <w:name w:val="heading 6"/>
    <w:basedOn w:val="Normal"/>
    <w:next w:val="Normal"/>
    <w:pPr>
      <w:pBdr>
        <w:bottom w:val="dotted" w:sz="6" w:space="1" w:color="7D0E0C"/>
      </w:pBdr>
      <w:spacing w:before="200" w:after="0"/>
      <w:outlineLvl w:val="5"/>
    </w:pPr>
    <w:rPr>
      <w:smallCaps/>
      <w:color w:val="5D0A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smallCaps/>
      <w:color w:val="7D0E0C"/>
      <w:sz w:val="40"/>
      <w:szCs w:val="40"/>
    </w:rPr>
  </w:style>
  <w:style w:type="paragraph" w:styleId="Subtitle">
    <w:name w:val="Subtitle"/>
    <w:basedOn w:val="Normal"/>
    <w:next w:val="Normal"/>
    <w:pPr>
      <w:spacing w:before="0" w:after="500"/>
    </w:pPr>
    <w:rPr>
      <w:smallCaps/>
      <w:color w:val="3A3A3A"/>
    </w:rPr>
  </w:style>
  <w:style w:type="paragraph" w:styleId="BalloonText">
    <w:name w:val="Balloon Text"/>
    <w:basedOn w:val="Normal"/>
    <w:link w:val="BalloonTextChar"/>
    <w:uiPriority w:val="99"/>
    <w:semiHidden/>
    <w:unhideWhenUsed/>
    <w:rsid w:val="008364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pPr>
        <w:spacing w:before="100"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bottom w:val="single" w:sz="8" w:space="0" w:color="3A3A3A"/>
      </w:pBdr>
      <w:spacing w:before="360" w:after="0"/>
      <w:outlineLvl w:val="0"/>
    </w:pPr>
    <w:rPr>
      <w:smallCaps/>
      <w:color w:val="171717"/>
    </w:rPr>
  </w:style>
  <w:style w:type="paragraph" w:styleId="Heading2">
    <w:name w:val="heading 2"/>
    <w:basedOn w:val="Normal"/>
    <w:next w:val="Normal"/>
    <w:pPr>
      <w:pBdr>
        <w:top w:val="single" w:sz="24" w:space="0" w:color="F8BCBA"/>
        <w:left w:val="single" w:sz="24" w:space="0" w:color="F8BCBA"/>
        <w:bottom w:val="single" w:sz="24" w:space="0" w:color="F8BCBA"/>
        <w:right w:val="single" w:sz="24" w:space="0" w:color="F8BCBA"/>
      </w:pBdr>
      <w:shd w:val="clear" w:color="auto" w:fill="F8BCBA"/>
      <w:spacing w:after="0"/>
      <w:outlineLvl w:val="1"/>
    </w:pPr>
    <w:rPr>
      <w:smallCaps/>
    </w:rPr>
  </w:style>
  <w:style w:type="paragraph" w:styleId="Heading3">
    <w:name w:val="heading 3"/>
    <w:basedOn w:val="Normal"/>
    <w:next w:val="Normal"/>
    <w:pPr>
      <w:pBdr>
        <w:top w:val="single" w:sz="6" w:space="2" w:color="7D0E0C"/>
      </w:pBdr>
      <w:spacing w:before="300" w:after="0"/>
      <w:outlineLvl w:val="2"/>
    </w:pPr>
    <w:rPr>
      <w:smallCaps/>
      <w:color w:val="3E0605"/>
    </w:rPr>
  </w:style>
  <w:style w:type="paragraph" w:styleId="Heading4">
    <w:name w:val="heading 4"/>
    <w:basedOn w:val="Normal"/>
    <w:next w:val="Normal"/>
    <w:pPr>
      <w:pBdr>
        <w:top w:val="dotted" w:sz="6" w:space="2" w:color="7D0E0C"/>
      </w:pBdr>
      <w:spacing w:before="200" w:after="0"/>
      <w:outlineLvl w:val="3"/>
    </w:pPr>
    <w:rPr>
      <w:smallCaps/>
      <w:color w:val="5D0A08"/>
    </w:rPr>
  </w:style>
  <w:style w:type="paragraph" w:styleId="Heading5">
    <w:name w:val="heading 5"/>
    <w:basedOn w:val="Normal"/>
    <w:next w:val="Normal"/>
    <w:pPr>
      <w:pBdr>
        <w:bottom w:val="single" w:sz="6" w:space="1" w:color="7D0E0C"/>
      </w:pBdr>
      <w:spacing w:before="200" w:after="0"/>
      <w:outlineLvl w:val="4"/>
    </w:pPr>
    <w:rPr>
      <w:smallCaps/>
      <w:color w:val="5D0A08"/>
    </w:rPr>
  </w:style>
  <w:style w:type="paragraph" w:styleId="Heading6">
    <w:name w:val="heading 6"/>
    <w:basedOn w:val="Normal"/>
    <w:next w:val="Normal"/>
    <w:pPr>
      <w:pBdr>
        <w:bottom w:val="dotted" w:sz="6" w:space="1" w:color="7D0E0C"/>
      </w:pBdr>
      <w:spacing w:before="200" w:after="0"/>
      <w:outlineLvl w:val="5"/>
    </w:pPr>
    <w:rPr>
      <w:smallCaps/>
      <w:color w:val="5D0A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smallCaps/>
      <w:color w:val="7D0E0C"/>
      <w:sz w:val="40"/>
      <w:szCs w:val="40"/>
    </w:rPr>
  </w:style>
  <w:style w:type="paragraph" w:styleId="Subtitle">
    <w:name w:val="Subtitle"/>
    <w:basedOn w:val="Normal"/>
    <w:next w:val="Normal"/>
    <w:pPr>
      <w:spacing w:before="0" w:after="500"/>
    </w:pPr>
    <w:rPr>
      <w:smallCaps/>
      <w:color w:val="3A3A3A"/>
    </w:rPr>
  </w:style>
  <w:style w:type="paragraph" w:styleId="BalloonText">
    <w:name w:val="Balloon Text"/>
    <w:basedOn w:val="Normal"/>
    <w:link w:val="BalloonTextChar"/>
    <w:uiPriority w:val="99"/>
    <w:semiHidden/>
    <w:unhideWhenUsed/>
    <w:rsid w:val="008364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nas.org/content/115/11/2600" TargetMode="External"/><Relationship Id="rId13" Type="http://schemas.microsoft.com/office/2007/relationships/diagramDrawing" Target="diagrams/drawing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ecologybits.com/index.php/2016/11/16/thoughts-on-preregistering-my-research/"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ecologybits.com/index.php/2016/11/16/thoughts-on-preregistering-my-researc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D5B43-7D58-4FDD-9C70-13CB11B764E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53FFA90F-DA8C-40C1-A9F0-7026DFE1D578}">
      <dgm:prSet phldrT="[Text]" phldr="1"/>
      <dgm:spPr>
        <a:solidFill>
          <a:schemeClr val="accent6"/>
        </a:solidFill>
        <a:ln>
          <a:solidFill>
            <a:schemeClr val="accent6"/>
          </a:solidFill>
        </a:ln>
      </dgm:spPr>
      <dgm:t>
        <a:bodyPr/>
        <a:lstStyle/>
        <a:p>
          <a:endParaRPr lang="en-US"/>
        </a:p>
      </dgm:t>
    </dgm:pt>
    <dgm:pt modelId="{E2817FC5-2208-4A85-B67A-10F979DC5928}" type="parTrans" cxnId="{8A0C84A8-E5DB-4AC6-B42E-7BDF952B799F}">
      <dgm:prSet/>
      <dgm:spPr/>
      <dgm:t>
        <a:bodyPr/>
        <a:lstStyle/>
        <a:p>
          <a:endParaRPr lang="en-US"/>
        </a:p>
      </dgm:t>
    </dgm:pt>
    <dgm:pt modelId="{443D63B7-C302-4EFA-8433-2B22ECE8ABD0}" type="sibTrans" cxnId="{8A0C84A8-E5DB-4AC6-B42E-7BDF952B799F}">
      <dgm:prSet>
        <dgm:style>
          <a:lnRef idx="1">
            <a:schemeClr val="accent6"/>
          </a:lnRef>
          <a:fillRef idx="0">
            <a:schemeClr val="accent6"/>
          </a:fillRef>
          <a:effectRef idx="0">
            <a:schemeClr val="accent6"/>
          </a:effectRef>
          <a:fontRef idx="minor">
            <a:schemeClr val="tx1"/>
          </a:fontRef>
        </dgm:style>
      </dgm:prSet>
      <dgm:spPr/>
      <dgm:t>
        <a:bodyPr/>
        <a:lstStyle/>
        <a:p>
          <a:endParaRPr lang="en-US"/>
        </a:p>
      </dgm:t>
    </dgm:pt>
    <dgm:pt modelId="{84F743E9-88ED-494E-AEA9-2F39DCA6025B}">
      <dgm:prSet phldrT="[Text]" phldr="1"/>
      <dgm:spPr>
        <a:solidFill>
          <a:srgbClr val="FFC000"/>
        </a:solidFill>
        <a:ln>
          <a:solidFill>
            <a:srgbClr val="FFC000"/>
          </a:solidFill>
        </a:ln>
      </dgm:spPr>
      <dgm:t>
        <a:bodyPr/>
        <a:lstStyle/>
        <a:p>
          <a:endParaRPr lang="en-US"/>
        </a:p>
      </dgm:t>
    </dgm:pt>
    <dgm:pt modelId="{8DD73382-99CE-455B-81A7-A3CF91FF1CA4}" type="parTrans" cxnId="{93EC97E6-B9E6-4EA2-91F7-1FEF1249B975}">
      <dgm:prSet/>
      <dgm:spPr/>
      <dgm:t>
        <a:bodyPr/>
        <a:lstStyle/>
        <a:p>
          <a:endParaRPr lang="en-US"/>
        </a:p>
      </dgm:t>
    </dgm:pt>
    <dgm:pt modelId="{A0025EC3-BAD3-47CA-96B5-3F360B1CCDB3}" type="sibTrans" cxnId="{93EC97E6-B9E6-4EA2-91F7-1FEF1249B975}">
      <dgm:prSet/>
      <dgm:spPr>
        <a:ln>
          <a:solidFill>
            <a:srgbClr val="FFC000"/>
          </a:solidFill>
        </a:ln>
      </dgm:spPr>
      <dgm:t>
        <a:bodyPr/>
        <a:lstStyle/>
        <a:p>
          <a:endParaRPr lang="en-US"/>
        </a:p>
      </dgm:t>
    </dgm:pt>
    <dgm:pt modelId="{39FB2991-C51A-4D22-9855-DCFBB0F37A83}">
      <dgm:prSet phldrT="[Text]" phldr="1"/>
      <dgm:spPr>
        <a:solidFill>
          <a:schemeClr val="accent3"/>
        </a:solidFill>
        <a:ln>
          <a:solidFill>
            <a:schemeClr val="accent3"/>
          </a:solidFill>
        </a:ln>
      </dgm:spPr>
      <dgm:t>
        <a:bodyPr/>
        <a:lstStyle/>
        <a:p>
          <a:endParaRPr lang="en-US"/>
        </a:p>
      </dgm:t>
    </dgm:pt>
    <dgm:pt modelId="{5FB245BC-1B60-4F04-830D-156B6BF35C91}" type="parTrans" cxnId="{9FDD95C7-B419-4EA7-94BA-9BDA1243ACB8}">
      <dgm:prSet/>
      <dgm:spPr/>
      <dgm:t>
        <a:bodyPr/>
        <a:lstStyle/>
        <a:p>
          <a:endParaRPr lang="en-US"/>
        </a:p>
      </dgm:t>
    </dgm:pt>
    <dgm:pt modelId="{D974BE45-CDCD-4F40-947C-888B91446718}" type="sibTrans" cxnId="{9FDD95C7-B419-4EA7-94BA-9BDA1243ACB8}">
      <dgm:prSet>
        <dgm:style>
          <a:lnRef idx="1">
            <a:schemeClr val="accent3"/>
          </a:lnRef>
          <a:fillRef idx="0">
            <a:schemeClr val="accent3"/>
          </a:fillRef>
          <a:effectRef idx="0">
            <a:schemeClr val="accent3"/>
          </a:effectRef>
          <a:fontRef idx="minor">
            <a:schemeClr val="tx1"/>
          </a:fontRef>
        </dgm:style>
      </dgm:prSet>
      <dgm:spPr/>
      <dgm:t>
        <a:bodyPr/>
        <a:lstStyle/>
        <a:p>
          <a:endParaRPr lang="en-US"/>
        </a:p>
      </dgm:t>
    </dgm:pt>
    <dgm:pt modelId="{94957309-62E0-4BE6-BA4D-8B098FA7306A}">
      <dgm:prSet phldrT="[Text]" phldr="1"/>
      <dgm:spPr>
        <a:solidFill>
          <a:schemeClr val="tx2">
            <a:lumMod val="60000"/>
            <a:lumOff val="40000"/>
          </a:schemeClr>
        </a:solidFill>
        <a:ln>
          <a:solidFill>
            <a:schemeClr val="tx2">
              <a:lumMod val="60000"/>
              <a:lumOff val="40000"/>
            </a:schemeClr>
          </a:solidFill>
        </a:ln>
      </dgm:spPr>
      <dgm:t>
        <a:bodyPr/>
        <a:lstStyle/>
        <a:p>
          <a:endParaRPr lang="en-US"/>
        </a:p>
      </dgm:t>
    </dgm:pt>
    <dgm:pt modelId="{F4ECF266-446B-40B5-B466-F60B647E44B9}" type="parTrans" cxnId="{AEE00E30-598C-4AB5-8106-8664941B38AB}">
      <dgm:prSet/>
      <dgm:spPr/>
      <dgm:t>
        <a:bodyPr/>
        <a:lstStyle/>
        <a:p>
          <a:endParaRPr lang="en-US"/>
        </a:p>
      </dgm:t>
    </dgm:pt>
    <dgm:pt modelId="{DEB871DE-6AE9-4D16-9063-A9C7EFD49C2D}" type="sibTrans" cxnId="{AEE00E30-598C-4AB5-8106-8664941B38AB}">
      <dgm:prSet/>
      <dgm:spPr/>
      <dgm:t>
        <a:bodyPr/>
        <a:lstStyle/>
        <a:p>
          <a:endParaRPr lang="en-US"/>
        </a:p>
      </dgm:t>
    </dgm:pt>
    <dgm:pt modelId="{076AD4BB-1515-4CE6-85D5-0F63175A0311}">
      <dgm:prSet phldrT="[Text]" phldr="1"/>
      <dgm:spPr>
        <a:solidFill>
          <a:schemeClr val="accent4"/>
        </a:solidFill>
        <a:ln>
          <a:solidFill>
            <a:schemeClr val="accent4"/>
          </a:solidFill>
        </a:ln>
      </dgm:spPr>
      <dgm:t>
        <a:bodyPr/>
        <a:lstStyle/>
        <a:p>
          <a:endParaRPr lang="en-US"/>
        </a:p>
      </dgm:t>
    </dgm:pt>
    <dgm:pt modelId="{F26E04B3-39C9-4168-8973-23CFA8EC69C2}" type="parTrans" cxnId="{D095F4E7-74CA-4A54-AB35-90EBA45E83DD}">
      <dgm:prSet/>
      <dgm:spPr/>
      <dgm:t>
        <a:bodyPr/>
        <a:lstStyle/>
        <a:p>
          <a:endParaRPr lang="en-US"/>
        </a:p>
      </dgm:t>
    </dgm:pt>
    <dgm:pt modelId="{117A44FB-87B5-42F9-8764-0D6552C8E617}" type="sibTrans" cxnId="{D095F4E7-74CA-4A54-AB35-90EBA45E83DD}">
      <dgm:prSet>
        <dgm:style>
          <a:lnRef idx="1">
            <a:schemeClr val="accent4"/>
          </a:lnRef>
          <a:fillRef idx="0">
            <a:schemeClr val="accent4"/>
          </a:fillRef>
          <a:effectRef idx="0">
            <a:schemeClr val="accent4"/>
          </a:effectRef>
          <a:fontRef idx="minor">
            <a:schemeClr val="tx1"/>
          </a:fontRef>
        </dgm:style>
      </dgm:prSet>
      <dgm:spPr/>
      <dgm:t>
        <a:bodyPr/>
        <a:lstStyle/>
        <a:p>
          <a:endParaRPr lang="en-US"/>
        </a:p>
      </dgm:t>
    </dgm:pt>
    <dgm:pt modelId="{94FEB4FB-A2C9-4DE1-965C-8821856860F5}" type="pres">
      <dgm:prSet presAssocID="{114D5B43-7D58-4FDD-9C70-13CB11B764E6}" presName="cycle" presStyleCnt="0">
        <dgm:presLayoutVars>
          <dgm:dir/>
          <dgm:resizeHandles val="exact"/>
        </dgm:presLayoutVars>
      </dgm:prSet>
      <dgm:spPr/>
      <dgm:t>
        <a:bodyPr/>
        <a:lstStyle/>
        <a:p>
          <a:endParaRPr lang="en-US"/>
        </a:p>
      </dgm:t>
    </dgm:pt>
    <dgm:pt modelId="{4350A92A-9CAC-481F-BF1E-2B28437F0B8D}" type="pres">
      <dgm:prSet presAssocID="{53FFA90F-DA8C-40C1-A9F0-7026DFE1D578}" presName="node" presStyleLbl="node1" presStyleIdx="0" presStyleCnt="5">
        <dgm:presLayoutVars>
          <dgm:bulletEnabled val="1"/>
        </dgm:presLayoutVars>
      </dgm:prSet>
      <dgm:spPr/>
      <dgm:t>
        <a:bodyPr/>
        <a:lstStyle/>
        <a:p>
          <a:endParaRPr lang="en-US"/>
        </a:p>
      </dgm:t>
    </dgm:pt>
    <dgm:pt modelId="{62B6413F-D1F1-46E8-BFA5-83BA98AA5CC8}" type="pres">
      <dgm:prSet presAssocID="{53FFA90F-DA8C-40C1-A9F0-7026DFE1D578}" presName="spNode" presStyleCnt="0"/>
      <dgm:spPr/>
    </dgm:pt>
    <dgm:pt modelId="{9164A9FD-DC6D-41D3-8DDE-8033DE162294}" type="pres">
      <dgm:prSet presAssocID="{443D63B7-C302-4EFA-8433-2B22ECE8ABD0}" presName="sibTrans" presStyleLbl="sibTrans1D1" presStyleIdx="0" presStyleCnt="5"/>
      <dgm:spPr/>
      <dgm:t>
        <a:bodyPr/>
        <a:lstStyle/>
        <a:p>
          <a:endParaRPr lang="en-US"/>
        </a:p>
      </dgm:t>
    </dgm:pt>
    <dgm:pt modelId="{9888F5DD-569A-4147-8A74-25B4EBAA6AEF}" type="pres">
      <dgm:prSet presAssocID="{84F743E9-88ED-494E-AEA9-2F39DCA6025B}" presName="node" presStyleLbl="node1" presStyleIdx="1" presStyleCnt="5">
        <dgm:presLayoutVars>
          <dgm:bulletEnabled val="1"/>
        </dgm:presLayoutVars>
      </dgm:prSet>
      <dgm:spPr/>
      <dgm:t>
        <a:bodyPr/>
        <a:lstStyle/>
        <a:p>
          <a:endParaRPr lang="en-US"/>
        </a:p>
      </dgm:t>
    </dgm:pt>
    <dgm:pt modelId="{CE1E456A-013C-4495-9D0B-7924FDA62985}" type="pres">
      <dgm:prSet presAssocID="{84F743E9-88ED-494E-AEA9-2F39DCA6025B}" presName="spNode" presStyleCnt="0"/>
      <dgm:spPr/>
    </dgm:pt>
    <dgm:pt modelId="{47236074-CADF-491C-AC55-828F119790B5}" type="pres">
      <dgm:prSet presAssocID="{A0025EC3-BAD3-47CA-96B5-3F360B1CCDB3}" presName="sibTrans" presStyleLbl="sibTrans1D1" presStyleIdx="1" presStyleCnt="5"/>
      <dgm:spPr/>
      <dgm:t>
        <a:bodyPr/>
        <a:lstStyle/>
        <a:p>
          <a:endParaRPr lang="en-US"/>
        </a:p>
      </dgm:t>
    </dgm:pt>
    <dgm:pt modelId="{71BC1EC9-D00C-421E-B518-F27DC0251F2D}" type="pres">
      <dgm:prSet presAssocID="{39FB2991-C51A-4D22-9855-DCFBB0F37A83}" presName="node" presStyleLbl="node1" presStyleIdx="2" presStyleCnt="5">
        <dgm:presLayoutVars>
          <dgm:bulletEnabled val="1"/>
        </dgm:presLayoutVars>
      </dgm:prSet>
      <dgm:spPr/>
      <dgm:t>
        <a:bodyPr/>
        <a:lstStyle/>
        <a:p>
          <a:endParaRPr lang="en-US"/>
        </a:p>
      </dgm:t>
    </dgm:pt>
    <dgm:pt modelId="{4F2F3654-DFB9-43EF-81B2-75794178131B}" type="pres">
      <dgm:prSet presAssocID="{39FB2991-C51A-4D22-9855-DCFBB0F37A83}" presName="spNode" presStyleCnt="0"/>
      <dgm:spPr/>
    </dgm:pt>
    <dgm:pt modelId="{0D0C41BC-DDCE-4A70-BD31-46EDAB2A9733}" type="pres">
      <dgm:prSet presAssocID="{D974BE45-CDCD-4F40-947C-888B91446718}" presName="sibTrans" presStyleLbl="sibTrans1D1" presStyleIdx="2" presStyleCnt="5"/>
      <dgm:spPr/>
      <dgm:t>
        <a:bodyPr/>
        <a:lstStyle/>
        <a:p>
          <a:endParaRPr lang="en-US"/>
        </a:p>
      </dgm:t>
    </dgm:pt>
    <dgm:pt modelId="{02D3DB63-EB7C-4358-862D-6238F3D16AEB}" type="pres">
      <dgm:prSet presAssocID="{94957309-62E0-4BE6-BA4D-8B098FA7306A}" presName="node" presStyleLbl="node1" presStyleIdx="3" presStyleCnt="5">
        <dgm:presLayoutVars>
          <dgm:bulletEnabled val="1"/>
        </dgm:presLayoutVars>
      </dgm:prSet>
      <dgm:spPr/>
      <dgm:t>
        <a:bodyPr/>
        <a:lstStyle/>
        <a:p>
          <a:endParaRPr lang="en-US"/>
        </a:p>
      </dgm:t>
    </dgm:pt>
    <dgm:pt modelId="{DD6DB2DE-0F2A-4931-B781-885B6732DAB7}" type="pres">
      <dgm:prSet presAssocID="{94957309-62E0-4BE6-BA4D-8B098FA7306A}" presName="spNode" presStyleCnt="0"/>
      <dgm:spPr/>
    </dgm:pt>
    <dgm:pt modelId="{4822A54C-F7A2-4752-84D2-B61698F7BE38}" type="pres">
      <dgm:prSet presAssocID="{DEB871DE-6AE9-4D16-9063-A9C7EFD49C2D}" presName="sibTrans" presStyleLbl="sibTrans1D1" presStyleIdx="3" presStyleCnt="5"/>
      <dgm:spPr/>
      <dgm:t>
        <a:bodyPr/>
        <a:lstStyle/>
        <a:p>
          <a:endParaRPr lang="en-US"/>
        </a:p>
      </dgm:t>
    </dgm:pt>
    <dgm:pt modelId="{2F806A02-E55F-4A45-9FB0-A504D7E28B0C}" type="pres">
      <dgm:prSet presAssocID="{076AD4BB-1515-4CE6-85D5-0F63175A0311}" presName="node" presStyleLbl="node1" presStyleIdx="4" presStyleCnt="5">
        <dgm:presLayoutVars>
          <dgm:bulletEnabled val="1"/>
        </dgm:presLayoutVars>
      </dgm:prSet>
      <dgm:spPr/>
      <dgm:t>
        <a:bodyPr/>
        <a:lstStyle/>
        <a:p>
          <a:endParaRPr lang="en-US"/>
        </a:p>
      </dgm:t>
    </dgm:pt>
    <dgm:pt modelId="{1020D7C2-2106-4E37-AE07-A3FE8D4CC1CF}" type="pres">
      <dgm:prSet presAssocID="{076AD4BB-1515-4CE6-85D5-0F63175A0311}" presName="spNode" presStyleCnt="0"/>
      <dgm:spPr/>
    </dgm:pt>
    <dgm:pt modelId="{477A27C1-327C-47C9-86D3-ACF27B40254C}" type="pres">
      <dgm:prSet presAssocID="{117A44FB-87B5-42F9-8764-0D6552C8E617}" presName="sibTrans" presStyleLbl="sibTrans1D1" presStyleIdx="4" presStyleCnt="5"/>
      <dgm:spPr/>
      <dgm:t>
        <a:bodyPr/>
        <a:lstStyle/>
        <a:p>
          <a:endParaRPr lang="en-US"/>
        </a:p>
      </dgm:t>
    </dgm:pt>
  </dgm:ptLst>
  <dgm:cxnLst>
    <dgm:cxn modelId="{3DE157A2-CA2D-458E-B128-FE2AE2BAF202}" type="presOf" srcId="{443D63B7-C302-4EFA-8433-2B22ECE8ABD0}" destId="{9164A9FD-DC6D-41D3-8DDE-8033DE162294}" srcOrd="0" destOrd="0" presId="urn:microsoft.com/office/officeart/2005/8/layout/cycle5"/>
    <dgm:cxn modelId="{9FDD95C7-B419-4EA7-94BA-9BDA1243ACB8}" srcId="{114D5B43-7D58-4FDD-9C70-13CB11B764E6}" destId="{39FB2991-C51A-4D22-9855-DCFBB0F37A83}" srcOrd="2" destOrd="0" parTransId="{5FB245BC-1B60-4F04-830D-156B6BF35C91}" sibTransId="{D974BE45-CDCD-4F40-947C-888B91446718}"/>
    <dgm:cxn modelId="{10FB3C31-AAEE-415B-AD73-ACD6887FB647}" type="presOf" srcId="{DEB871DE-6AE9-4D16-9063-A9C7EFD49C2D}" destId="{4822A54C-F7A2-4752-84D2-B61698F7BE38}" srcOrd="0" destOrd="0" presId="urn:microsoft.com/office/officeart/2005/8/layout/cycle5"/>
    <dgm:cxn modelId="{FF8607AB-4BA6-419C-B3CF-B4923C8306C9}" type="presOf" srcId="{A0025EC3-BAD3-47CA-96B5-3F360B1CCDB3}" destId="{47236074-CADF-491C-AC55-828F119790B5}" srcOrd="0" destOrd="0" presId="urn:microsoft.com/office/officeart/2005/8/layout/cycle5"/>
    <dgm:cxn modelId="{16E335A2-41AA-4D1B-89D4-568E72C75EDF}" type="presOf" srcId="{117A44FB-87B5-42F9-8764-0D6552C8E617}" destId="{477A27C1-327C-47C9-86D3-ACF27B40254C}" srcOrd="0" destOrd="0" presId="urn:microsoft.com/office/officeart/2005/8/layout/cycle5"/>
    <dgm:cxn modelId="{93EC97E6-B9E6-4EA2-91F7-1FEF1249B975}" srcId="{114D5B43-7D58-4FDD-9C70-13CB11B764E6}" destId="{84F743E9-88ED-494E-AEA9-2F39DCA6025B}" srcOrd="1" destOrd="0" parTransId="{8DD73382-99CE-455B-81A7-A3CF91FF1CA4}" sibTransId="{A0025EC3-BAD3-47CA-96B5-3F360B1CCDB3}"/>
    <dgm:cxn modelId="{BD352CF5-06BE-41AA-9B5F-6FA2ADA63740}" type="presOf" srcId="{D974BE45-CDCD-4F40-947C-888B91446718}" destId="{0D0C41BC-DDCE-4A70-BD31-46EDAB2A9733}" srcOrd="0" destOrd="0" presId="urn:microsoft.com/office/officeart/2005/8/layout/cycle5"/>
    <dgm:cxn modelId="{AEE00E30-598C-4AB5-8106-8664941B38AB}" srcId="{114D5B43-7D58-4FDD-9C70-13CB11B764E6}" destId="{94957309-62E0-4BE6-BA4D-8B098FA7306A}" srcOrd="3" destOrd="0" parTransId="{F4ECF266-446B-40B5-B466-F60B647E44B9}" sibTransId="{DEB871DE-6AE9-4D16-9063-A9C7EFD49C2D}"/>
    <dgm:cxn modelId="{B5A63D65-B93D-41C7-9F39-1F6A9CCC54F7}" type="presOf" srcId="{114D5B43-7D58-4FDD-9C70-13CB11B764E6}" destId="{94FEB4FB-A2C9-4DE1-965C-8821856860F5}" srcOrd="0" destOrd="0" presId="urn:microsoft.com/office/officeart/2005/8/layout/cycle5"/>
    <dgm:cxn modelId="{D095F4E7-74CA-4A54-AB35-90EBA45E83DD}" srcId="{114D5B43-7D58-4FDD-9C70-13CB11B764E6}" destId="{076AD4BB-1515-4CE6-85D5-0F63175A0311}" srcOrd="4" destOrd="0" parTransId="{F26E04B3-39C9-4168-8973-23CFA8EC69C2}" sibTransId="{117A44FB-87B5-42F9-8764-0D6552C8E617}"/>
    <dgm:cxn modelId="{34D18E58-3D87-4FF1-97C7-2A05F9AC717D}" type="presOf" srcId="{84F743E9-88ED-494E-AEA9-2F39DCA6025B}" destId="{9888F5DD-569A-4147-8A74-25B4EBAA6AEF}" srcOrd="0" destOrd="0" presId="urn:microsoft.com/office/officeart/2005/8/layout/cycle5"/>
    <dgm:cxn modelId="{2331831D-991E-4B1E-B4B1-3AF106E1A4FA}" type="presOf" srcId="{39FB2991-C51A-4D22-9855-DCFBB0F37A83}" destId="{71BC1EC9-D00C-421E-B518-F27DC0251F2D}" srcOrd="0" destOrd="0" presId="urn:microsoft.com/office/officeart/2005/8/layout/cycle5"/>
    <dgm:cxn modelId="{EDA33B89-BAF6-46FF-A438-09B2C2A2379E}" type="presOf" srcId="{076AD4BB-1515-4CE6-85D5-0F63175A0311}" destId="{2F806A02-E55F-4A45-9FB0-A504D7E28B0C}" srcOrd="0" destOrd="0" presId="urn:microsoft.com/office/officeart/2005/8/layout/cycle5"/>
    <dgm:cxn modelId="{7D4951EA-6CE2-43D0-976A-EE8F57F79603}" type="presOf" srcId="{53FFA90F-DA8C-40C1-A9F0-7026DFE1D578}" destId="{4350A92A-9CAC-481F-BF1E-2B28437F0B8D}" srcOrd="0" destOrd="0" presId="urn:microsoft.com/office/officeart/2005/8/layout/cycle5"/>
    <dgm:cxn modelId="{59DA94D6-2653-4B83-ACBC-94575BFA4664}" type="presOf" srcId="{94957309-62E0-4BE6-BA4D-8B098FA7306A}" destId="{02D3DB63-EB7C-4358-862D-6238F3D16AEB}" srcOrd="0" destOrd="0" presId="urn:microsoft.com/office/officeart/2005/8/layout/cycle5"/>
    <dgm:cxn modelId="{8A0C84A8-E5DB-4AC6-B42E-7BDF952B799F}" srcId="{114D5B43-7D58-4FDD-9C70-13CB11B764E6}" destId="{53FFA90F-DA8C-40C1-A9F0-7026DFE1D578}" srcOrd="0" destOrd="0" parTransId="{E2817FC5-2208-4A85-B67A-10F979DC5928}" sibTransId="{443D63B7-C302-4EFA-8433-2B22ECE8ABD0}"/>
    <dgm:cxn modelId="{79A2A98C-6002-43B0-A813-D3BE70ECDB27}" type="presParOf" srcId="{94FEB4FB-A2C9-4DE1-965C-8821856860F5}" destId="{4350A92A-9CAC-481F-BF1E-2B28437F0B8D}" srcOrd="0" destOrd="0" presId="urn:microsoft.com/office/officeart/2005/8/layout/cycle5"/>
    <dgm:cxn modelId="{FB51F223-1EBB-4505-A729-378CD3C61C70}" type="presParOf" srcId="{94FEB4FB-A2C9-4DE1-965C-8821856860F5}" destId="{62B6413F-D1F1-46E8-BFA5-83BA98AA5CC8}" srcOrd="1" destOrd="0" presId="urn:microsoft.com/office/officeart/2005/8/layout/cycle5"/>
    <dgm:cxn modelId="{FE31F425-E7EC-4726-8770-68979F5DC474}" type="presParOf" srcId="{94FEB4FB-A2C9-4DE1-965C-8821856860F5}" destId="{9164A9FD-DC6D-41D3-8DDE-8033DE162294}" srcOrd="2" destOrd="0" presId="urn:microsoft.com/office/officeart/2005/8/layout/cycle5"/>
    <dgm:cxn modelId="{9D842001-776C-46C6-A872-1C1C8CD4DB8E}" type="presParOf" srcId="{94FEB4FB-A2C9-4DE1-965C-8821856860F5}" destId="{9888F5DD-569A-4147-8A74-25B4EBAA6AEF}" srcOrd="3" destOrd="0" presId="urn:microsoft.com/office/officeart/2005/8/layout/cycle5"/>
    <dgm:cxn modelId="{BBDDFB75-7862-445E-ACD3-A1076E16568C}" type="presParOf" srcId="{94FEB4FB-A2C9-4DE1-965C-8821856860F5}" destId="{CE1E456A-013C-4495-9D0B-7924FDA62985}" srcOrd="4" destOrd="0" presId="urn:microsoft.com/office/officeart/2005/8/layout/cycle5"/>
    <dgm:cxn modelId="{ED7886BE-4E2A-491A-9661-9BE6A464ED6B}" type="presParOf" srcId="{94FEB4FB-A2C9-4DE1-965C-8821856860F5}" destId="{47236074-CADF-491C-AC55-828F119790B5}" srcOrd="5" destOrd="0" presId="urn:microsoft.com/office/officeart/2005/8/layout/cycle5"/>
    <dgm:cxn modelId="{C1E5794A-9F84-4EBA-89A6-808AE4FCB77A}" type="presParOf" srcId="{94FEB4FB-A2C9-4DE1-965C-8821856860F5}" destId="{71BC1EC9-D00C-421E-B518-F27DC0251F2D}" srcOrd="6" destOrd="0" presId="urn:microsoft.com/office/officeart/2005/8/layout/cycle5"/>
    <dgm:cxn modelId="{14584D47-38F8-44DB-B29E-548741317CE7}" type="presParOf" srcId="{94FEB4FB-A2C9-4DE1-965C-8821856860F5}" destId="{4F2F3654-DFB9-43EF-81B2-75794178131B}" srcOrd="7" destOrd="0" presId="urn:microsoft.com/office/officeart/2005/8/layout/cycle5"/>
    <dgm:cxn modelId="{49087648-F295-45FF-8A9D-B582AF50B2FC}" type="presParOf" srcId="{94FEB4FB-A2C9-4DE1-965C-8821856860F5}" destId="{0D0C41BC-DDCE-4A70-BD31-46EDAB2A9733}" srcOrd="8" destOrd="0" presId="urn:microsoft.com/office/officeart/2005/8/layout/cycle5"/>
    <dgm:cxn modelId="{53717FB9-8EAD-48A3-8B2B-88E153AECDDF}" type="presParOf" srcId="{94FEB4FB-A2C9-4DE1-965C-8821856860F5}" destId="{02D3DB63-EB7C-4358-862D-6238F3D16AEB}" srcOrd="9" destOrd="0" presId="urn:microsoft.com/office/officeart/2005/8/layout/cycle5"/>
    <dgm:cxn modelId="{E214C7E4-C62E-496A-9D12-E2CEED4FC872}" type="presParOf" srcId="{94FEB4FB-A2C9-4DE1-965C-8821856860F5}" destId="{DD6DB2DE-0F2A-4931-B781-885B6732DAB7}" srcOrd="10" destOrd="0" presId="urn:microsoft.com/office/officeart/2005/8/layout/cycle5"/>
    <dgm:cxn modelId="{4EC8B2EE-2296-41F9-9E79-1EC5AC25AD15}" type="presParOf" srcId="{94FEB4FB-A2C9-4DE1-965C-8821856860F5}" destId="{4822A54C-F7A2-4752-84D2-B61698F7BE38}" srcOrd="11" destOrd="0" presId="urn:microsoft.com/office/officeart/2005/8/layout/cycle5"/>
    <dgm:cxn modelId="{2423CAB2-548A-4A27-92F3-FF6EAAF68627}" type="presParOf" srcId="{94FEB4FB-A2C9-4DE1-965C-8821856860F5}" destId="{2F806A02-E55F-4A45-9FB0-A504D7E28B0C}" srcOrd="12" destOrd="0" presId="urn:microsoft.com/office/officeart/2005/8/layout/cycle5"/>
    <dgm:cxn modelId="{373D190A-0379-478F-83EB-70CE8CF0F132}" type="presParOf" srcId="{94FEB4FB-A2C9-4DE1-965C-8821856860F5}" destId="{1020D7C2-2106-4E37-AE07-A3FE8D4CC1CF}" srcOrd="13" destOrd="0" presId="urn:microsoft.com/office/officeart/2005/8/layout/cycle5"/>
    <dgm:cxn modelId="{379D6337-4B44-484B-8ADB-2F41101FCE3E}" type="presParOf" srcId="{94FEB4FB-A2C9-4DE1-965C-8821856860F5}" destId="{477A27C1-327C-47C9-86D3-ACF27B40254C}"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50A92A-9CAC-481F-BF1E-2B28437F0B8D}">
      <dsp:nvSpPr>
        <dsp:cNvPr id="0" name=""/>
        <dsp:cNvSpPr/>
      </dsp:nvSpPr>
      <dsp:spPr>
        <a:xfrm>
          <a:off x="2218134" y="1154"/>
          <a:ext cx="1050131" cy="682585"/>
        </a:xfrm>
        <a:prstGeom prst="roundRect">
          <a:avLst/>
        </a:prstGeom>
        <a:solidFill>
          <a:schemeClr val="accent6"/>
        </a:solid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endParaRPr lang="en-US" sz="2400" kern="1200"/>
        </a:p>
      </dsp:txBody>
      <dsp:txXfrm>
        <a:off x="2251455" y="34475"/>
        <a:ext cx="983489" cy="615943"/>
      </dsp:txXfrm>
    </dsp:sp>
    <dsp:sp modelId="{9164A9FD-DC6D-41D3-8DDE-8033DE162294}">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6">
              <a:shade val="95000"/>
              <a:satMod val="105000"/>
            </a:schemeClr>
          </a:solidFill>
          <a:prstDash val="solid"/>
          <a:tailEnd type="arrow"/>
        </a:ln>
        <a:effectLst/>
      </dsp:spPr>
      <dsp:style>
        <a:lnRef idx="1">
          <a:schemeClr val="accent6"/>
        </a:lnRef>
        <a:fillRef idx="0">
          <a:schemeClr val="accent6"/>
        </a:fillRef>
        <a:effectRef idx="0">
          <a:schemeClr val="accent6"/>
        </a:effectRef>
        <a:fontRef idx="minor">
          <a:schemeClr val="tx1"/>
        </a:fontRef>
      </dsp:style>
    </dsp:sp>
    <dsp:sp modelId="{9888F5DD-569A-4147-8A74-25B4EBAA6AEF}">
      <dsp:nvSpPr>
        <dsp:cNvPr id="0" name=""/>
        <dsp:cNvSpPr/>
      </dsp:nvSpPr>
      <dsp:spPr>
        <a:xfrm>
          <a:off x="3516699" y="944616"/>
          <a:ext cx="1050131" cy="682585"/>
        </a:xfrm>
        <a:prstGeom prst="roundRect">
          <a:avLst/>
        </a:prstGeom>
        <a:solidFill>
          <a:srgbClr val="FFC000"/>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endParaRPr lang="en-US" sz="2400" kern="1200"/>
        </a:p>
      </dsp:txBody>
      <dsp:txXfrm>
        <a:off x="3550020" y="977937"/>
        <a:ext cx="983489" cy="615943"/>
      </dsp:txXfrm>
    </dsp:sp>
    <dsp:sp modelId="{47236074-CADF-491C-AC55-828F119790B5}">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rgbClr val="FFC000"/>
          </a:solidFill>
          <a:prstDash val="solid"/>
          <a:tailEnd type="arrow"/>
        </a:ln>
        <a:effectLst/>
      </dsp:spPr>
      <dsp:style>
        <a:lnRef idx="1">
          <a:scrgbClr r="0" g="0" b="0"/>
        </a:lnRef>
        <a:fillRef idx="0">
          <a:scrgbClr r="0" g="0" b="0"/>
        </a:fillRef>
        <a:effectRef idx="0">
          <a:scrgbClr r="0" g="0" b="0"/>
        </a:effectRef>
        <a:fontRef idx="minor"/>
      </dsp:style>
    </dsp:sp>
    <dsp:sp modelId="{71BC1EC9-D00C-421E-B518-F27DC0251F2D}">
      <dsp:nvSpPr>
        <dsp:cNvPr id="0" name=""/>
        <dsp:cNvSpPr/>
      </dsp:nvSpPr>
      <dsp:spPr>
        <a:xfrm>
          <a:off x="3020691" y="2471170"/>
          <a:ext cx="1050131" cy="682585"/>
        </a:xfrm>
        <a:prstGeom prst="roundRect">
          <a:avLst/>
        </a:prstGeom>
        <a:solidFill>
          <a:schemeClr val="accent3"/>
        </a:solidFill>
        <a:ln w="25400" cap="flat" cmpd="sng" algn="ctr">
          <a:solidFill>
            <a:schemeClr val="accent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endParaRPr lang="en-US" sz="2400" kern="1200"/>
        </a:p>
      </dsp:txBody>
      <dsp:txXfrm>
        <a:off x="3054012" y="2504491"/>
        <a:ext cx="983489" cy="615943"/>
      </dsp:txXfrm>
    </dsp:sp>
    <dsp:sp modelId="{0D0C41BC-DDCE-4A70-BD31-46EDAB2A9733}">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3">
              <a:shade val="95000"/>
              <a:satMod val="105000"/>
            </a:schemeClr>
          </a:solidFill>
          <a:prstDash val="solid"/>
          <a:tailEnd type="arrow"/>
        </a:ln>
        <a:effectLst/>
      </dsp:spPr>
      <dsp:style>
        <a:lnRef idx="1">
          <a:schemeClr val="accent3"/>
        </a:lnRef>
        <a:fillRef idx="0">
          <a:schemeClr val="accent3"/>
        </a:fillRef>
        <a:effectRef idx="0">
          <a:schemeClr val="accent3"/>
        </a:effectRef>
        <a:fontRef idx="minor">
          <a:schemeClr val="tx1"/>
        </a:fontRef>
      </dsp:style>
    </dsp:sp>
    <dsp:sp modelId="{02D3DB63-EB7C-4358-862D-6238F3D16AEB}">
      <dsp:nvSpPr>
        <dsp:cNvPr id="0" name=""/>
        <dsp:cNvSpPr/>
      </dsp:nvSpPr>
      <dsp:spPr>
        <a:xfrm>
          <a:off x="1415577" y="2471170"/>
          <a:ext cx="1050131" cy="682585"/>
        </a:xfrm>
        <a:prstGeom prst="roundRect">
          <a:avLst/>
        </a:prstGeom>
        <a:solidFill>
          <a:schemeClr val="tx2">
            <a:lumMod val="60000"/>
            <a:lumOff val="40000"/>
          </a:schemeClr>
        </a:solidFill>
        <a:ln w="25400" cap="flat" cmpd="sng" algn="ctr">
          <a:solidFill>
            <a:schemeClr val="tx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endParaRPr lang="en-US" sz="2400" kern="1200"/>
        </a:p>
      </dsp:txBody>
      <dsp:txXfrm>
        <a:off x="1448898" y="2504491"/>
        <a:ext cx="983489" cy="615943"/>
      </dsp:txXfrm>
    </dsp:sp>
    <dsp:sp modelId="{4822A54C-F7A2-4752-84D2-B61698F7BE38}">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F806A02-E55F-4A45-9FB0-A504D7E28B0C}">
      <dsp:nvSpPr>
        <dsp:cNvPr id="0" name=""/>
        <dsp:cNvSpPr/>
      </dsp:nvSpPr>
      <dsp:spPr>
        <a:xfrm>
          <a:off x="919569" y="944616"/>
          <a:ext cx="1050131" cy="682585"/>
        </a:xfrm>
        <a:prstGeom prst="roundRect">
          <a:avLst/>
        </a:prstGeom>
        <a:solidFill>
          <a:schemeClr val="accent4"/>
        </a:solidFill>
        <a:ln w="2540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endParaRPr lang="en-US" sz="2400" kern="1200"/>
        </a:p>
      </dsp:txBody>
      <dsp:txXfrm>
        <a:off x="952890" y="977937"/>
        <a:ext cx="983489" cy="615943"/>
      </dsp:txXfrm>
    </dsp:sp>
    <dsp:sp modelId="{477A27C1-327C-47C9-86D3-ACF27B40254C}">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4">
              <a:shade val="95000"/>
              <a:satMod val="105000"/>
            </a:schemeClr>
          </a:solidFill>
          <a:prstDash val="solid"/>
          <a:tailEnd type="arrow"/>
        </a:ln>
        <a:effectLst/>
      </dsp:spPr>
      <dsp:style>
        <a:lnRef idx="1">
          <a:schemeClr val="accent4"/>
        </a:lnRef>
        <a:fillRef idx="0">
          <a:schemeClr val="accent4"/>
        </a:fillRef>
        <a:effectRef idx="0">
          <a:schemeClr val="accent4"/>
        </a:effectRef>
        <a:fontRef idx="minor">
          <a:schemeClr val="tx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Company>Microsoft</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Malika</cp:lastModifiedBy>
  <cp:revision>2</cp:revision>
  <dcterms:created xsi:type="dcterms:W3CDTF">2018-12-30T08:18:00Z</dcterms:created>
  <dcterms:modified xsi:type="dcterms:W3CDTF">2018-12-30T08:18:00Z</dcterms:modified>
</cp:coreProperties>
</file>