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0.png" ContentType="image/png"/>
  <Override PartName="/word/media/rId31.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framing"/>
      <w:r>
        <w:t xml:space="preserve">Introduction/Framing</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the extent to which changes in the ISD decouple the community-level dynamics of abundance, biomass, and energy use in these systems, or of 2) the underlying changes in community structure that account for these effects.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We also examined how these changes differ between core species and the whole-community (i.e. including transients), which currently comes completely out of left field in this introduction (sorry!).</w:t>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Compact"/>
        <w:numPr>
          <w:numId w:val="1001"/>
          <w:ilvl w:val="0"/>
        </w:numPr>
      </w:pPr>
      <w:r>
        <w:t xml:space="preserve">We used data from the Breeding Bird Survey</w:t>
      </w:r>
      <w:r>
        <w:t xml:space="preserve"> </w:t>
      </w:r>
      <w:r>
        <w:t xml:space="preserve">(Sauer et al. 2013)</w:t>
      </w:r>
      <w:r>
        <w:t xml:space="preserve"> </w:t>
      </w:r>
      <w:r>
        <w:t xml:space="preserve">(accessed using the R package</w:t>
      </w:r>
      <w:r>
        <w:t xml:space="preserve"> </w:t>
      </w:r>
      <w:r>
        <w:rPr>
          <w:rStyle w:val="VerbatimChar"/>
        </w:rPr>
        <w:t xml:space="preserve">MATSS</w:t>
      </w:r>
      <w:r>
        <w:t xml:space="preserve"> </w:t>
      </w:r>
      <w:r>
        <w:t xml:space="preserve">(Ye et al. 2020)</w:t>
      </w:r>
      <w:r>
        <w:t xml:space="preserve">) to compare community attributes along each route between the 5-year periods from 1988-1992 and 2014-2018.</w:t>
      </w:r>
    </w:p>
    <w:p>
      <w:pPr>
        <w:pStyle w:val="Compact"/>
        <w:numPr>
          <w:numId w:val="1002"/>
          <w:ilvl w:val="1"/>
        </w:numPr>
      </w:pPr>
      <w:r>
        <w:t xml:space="preserve">We used a discrete time-period comparison (as opposed to continuous-time over the full timeseries) to simplify comparisons between temporal turnover in species composition and the size structure - which are complex, multidimensional distributions - and changes in community-wide total abundance, biomass, and energy use.</w:t>
      </w:r>
    </w:p>
    <w:p>
      <w:pPr>
        <w:pStyle w:val="Compact"/>
        <w:numPr>
          <w:numId w:val="1003"/>
          <w:ilvl w:val="2"/>
        </w:numPr>
      </w:pPr>
      <w:r>
        <w:t xml:space="preserve">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w:t>
      </w:r>
      <w:r>
        <w:rPr>
          <w:b/>
        </w:rPr>
        <w:t xml:space="preserve">???</w:t>
      </w:r>
      <w:r>
        <w:t xml:space="preserve">, Cusser et al. 2020)</w:t>
      </w:r>
      <w:r>
        <w:t xml:space="preserve">. Developing continuous-time methods for analyzing complex, multidimensional community distributions such as the size spectrum is an important and ongoing area of methodological development (e.g. </w:t>
      </w:r>
      <w:r>
        <w:t xml:space="preserve">Yen et al. (2017)</w:t>
      </w:r>
      <w:r>
        <w:t xml:space="preserve">).</w:t>
      </w:r>
    </w:p>
    <w:p>
      <w:pPr>
        <w:pStyle w:val="Compact"/>
        <w:numPr>
          <w:numId w:val="1002"/>
          <w:ilvl w:val="1"/>
        </w:numPr>
      </w:pPr>
      <w:r>
        <w:t xml:space="preserve">We used 5-year periods so as to smooth out interannual variability and to account for sampling accumulation effects in characterizing the bird community in each time period</w:t>
      </w:r>
      <w:r>
        <w:t xml:space="preserve"> </w:t>
      </w:r>
      <w:r>
        <w:t xml:space="preserve">(White et al. 2004)</w:t>
      </w:r>
      <w:r>
        <w:t xml:space="preserve">.</w:t>
      </w:r>
    </w:p>
    <w:p>
      <w:pPr>
        <w:pStyle w:val="Compact"/>
        <w:numPr>
          <w:numId w:val="1004"/>
          <w:ilvl w:val="2"/>
        </w:numPr>
      </w:pPr>
      <w:r>
        <w:t xml:space="preserve">We used the same begin and end dates for all routes in the analysis so as to have a consistent window.</w:t>
      </w:r>
    </w:p>
    <w:p>
      <w:pPr>
        <w:pStyle w:val="Compact"/>
        <w:numPr>
          <w:numId w:val="1004"/>
          <w:ilvl w:val="2"/>
        </w:numPr>
      </w:pPr>
      <w:r>
        <w:t xml:space="preserve">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X to X and end dates ranging from X to X,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w:t>
      </w:r>
    </w:p>
    <w:p>
      <w:pPr>
        <w:pStyle w:val="Compact"/>
        <w:numPr>
          <w:numId w:val="1004"/>
          <w:ilvl w:val="2"/>
        </w:numPr>
      </w:pPr>
      <w:r>
        <w:t xml:space="preserve">This yielded 528 routes.</w:t>
      </w:r>
    </w:p>
    <w:p>
      <w:pPr>
        <w:pStyle w:val="Compact"/>
        <w:numPr>
          <w:numId w:val="1005"/>
          <w:ilvl w:val="3"/>
        </w:numPr>
      </w:pPr>
      <w:r>
        <w:t xml:space="preserve">Sometimes I subsample the 528 to get a maximum of 10 routes per bird conservation region, so that the highly-sampled BCRs don’t dominate aggregate analyses</w:t>
      </w:r>
      <w:r>
        <w:t xml:space="preserve"> </w:t>
      </w:r>
      <w:r>
        <w:t xml:space="preserve">(Thibault et al. 2011)</w:t>
      </w:r>
      <w:r>
        <w:t xml:space="preserve">. That yields 238 (I believe).</w:t>
      </w:r>
    </w:p>
    <w:p>
      <w:pPr>
        <w:pStyle w:val="Heading2"/>
      </w:pPr>
      <w:bookmarkStart w:id="23" w:name="estimated-size-data"/>
      <w:r>
        <w:t xml:space="preserve">Estimated size data</w:t>
      </w:r>
      <w:bookmarkEnd w:id="23"/>
    </w:p>
    <w:p>
      <w:pPr>
        <w:pStyle w:val="Compact"/>
        <w:numPr>
          <w:numId w:val="1006"/>
          <w:ilvl w:val="0"/>
        </w:numPr>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also recent Myers/Catano/Fristoe paper I believe).</w:t>
      </w:r>
    </w:p>
    <w:p>
      <w:pPr>
        <w:pStyle w:val="Compact"/>
        <w:numPr>
          <w:numId w:val="1007"/>
          <w:ilvl w:val="1"/>
        </w:numPr>
      </w:pPr>
      <w:r>
        <w:t xml:space="preserve">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w:t>
      </w:r>
    </w:p>
    <w:p>
      <w:pPr>
        <w:pStyle w:val="Compact"/>
        <w:numPr>
          <w:numId w:val="1008"/>
          <w:ilvl w:val="2"/>
        </w:numPr>
      </w:pPr>
      <w:r>
        <w:t xml:space="preserve">For species for which there was not a standard deviation recorded in</w:t>
      </w:r>
      <w:r>
        <w:t xml:space="preserve"> </w:t>
      </w:r>
      <w:r>
        <w:t xml:space="preserve">(</w:t>
      </w:r>
      <w:r>
        <w:rPr>
          <w:b/>
        </w:rPr>
        <w:t xml:space="preserve">???</w:t>
      </w:r>
      <w:r>
        <w:t xml:space="preserve">)</w:t>
      </w:r>
      <w:r>
        <w:t xml:space="preserve"> </w:t>
      </w:r>
      <w:r>
        <w:t xml:space="preserve">(n =?), we estimated the standard deviation based on an allometric scaling relationship between mean and standard deviation in body mass (also described in</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w:t>
      </w:r>
    </w:p>
    <w:p>
      <w:pPr>
        <w:pStyle w:val="Compact"/>
        <w:numPr>
          <w:numId w:val="1007"/>
          <w:ilvl w:val="1"/>
        </w:numPr>
      </w:pPr>
      <w:r>
        <w:t xml:space="preserve">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Compact"/>
        <w:numPr>
          <w:numId w:val="1007"/>
          <w:ilvl w:val="1"/>
        </w:numPr>
      </w:pPr>
      <w:r>
        <w:t xml:space="preserve">For each individual bird observed, we estimated metabolic rate as (parameters)</w:t>
      </w:r>
      <w:r>
        <w:t xml:space="preserve"> </w:t>
      </w:r>
      <w:r>
        <w:t xml:space="preserve">(Fristoe 2015)</w:t>
      </w:r>
      <w:r>
        <w:t xml:space="preserve">.</w:t>
      </w:r>
    </w:p>
    <w:p>
      <w:pPr>
        <w:pStyle w:val="Compact"/>
        <w:numPr>
          <w:numId w:val="1007"/>
          <w:ilvl w:val="1"/>
        </w:numPr>
      </w:pPr>
      <w:r>
        <w:t xml:space="preserve">For each route in a given year, we compute total energy use, total biomass, and total abundance by summing over all individuals observed on that route in that year.</w:t>
      </w:r>
    </w:p>
    <w:p>
      <w:pPr>
        <w:pStyle w:val="Heading2"/>
      </w:pPr>
      <w:bookmarkStart w:id="24" w:name="comparing-isds-over-time"/>
      <w:r>
        <w:t xml:space="preserve">Comparing ISDs over time</w:t>
      </w:r>
      <w:bookmarkEnd w:id="24"/>
    </w:p>
    <w:p>
      <w:pPr>
        <w:pStyle w:val="Compact"/>
        <w:numPr>
          <w:numId w:val="1009"/>
          <w:ilvl w:val="0"/>
        </w:numPr>
      </w:pPr>
      <w:r>
        <w:t xml:space="preserve">Characterizing the ISD</w:t>
      </w:r>
    </w:p>
    <w:p>
      <w:pPr>
        <w:pStyle w:val="Compact"/>
        <w:numPr>
          <w:numId w:val="1010"/>
          <w:ilvl w:val="1"/>
        </w:numPr>
      </w:pPr>
      <w:r>
        <w:t xml:space="preserve">For a given route and time period, we draw the appropriate numbers of individuals of each species from their corresponding normal distributions.</w:t>
      </w:r>
    </w:p>
    <w:p>
      <w:pPr>
        <w:pStyle w:val="Compact"/>
        <w:numPr>
          <w:numId w:val="1010"/>
          <w:ilvl w:val="1"/>
        </w:numPr>
      </w:pPr>
      <w:r>
        <w:t xml:space="preserve">We use two approaches to test whether the ISD for 1988-1992 is significantly different from the one for 2014-2018</w:t>
      </w:r>
    </w:p>
    <w:p>
      <w:pPr>
        <w:pStyle w:val="Compact"/>
        <w:numPr>
          <w:numId w:val="1011"/>
          <w:ilvl w:val="2"/>
        </w:numPr>
      </w:pPr>
      <w:r>
        <w:t xml:space="preserve">Kolmogorov-Smirnov test on the vector of masses for the begin vs end time periods</w:t>
      </w:r>
    </w:p>
    <w:p>
      <w:pPr>
        <w:pStyle w:val="Compact"/>
        <w:numPr>
          <w:numId w:val="1011"/>
          <w:ilvl w:val="2"/>
        </w:numPr>
      </w:pPr>
      <w:r>
        <w:t xml:space="preserve">Bootstrap resampling of individuals</w:t>
      </w:r>
      <w:r>
        <w:t xml:space="preserve"> </w:t>
      </w:r>
      <w:r>
        <w:t xml:space="preserve">(pretty sure this derives from Ernest 2005)</w:t>
      </w:r>
      <w:r>
        <w:t xml:space="preserve">:</w:t>
      </w:r>
    </w:p>
    <w:p>
      <w:pPr>
        <w:pStyle w:val="Compact"/>
        <w:numPr>
          <w:numId w:val="1012"/>
          <w:ilvl w:val="3"/>
        </w:numPr>
      </w:pPr>
      <w:r>
        <w:t xml:space="preserve">From the pool of all individuals</w:t>
      </w:r>
      <w:r>
        <w:t xml:space="preserve"> </w:t>
      </w:r>
      <w:r>
        <w:t xml:space="preserve">“</w:t>
      </w:r>
      <w:r>
        <w:t xml:space="preserve">observed</w:t>
      </w:r>
      <w:r>
        <w:t xml:space="preserve">”</w:t>
      </w:r>
      <w:r>
        <w:t xml:space="preserve"> </w:t>
      </w:r>
      <w:r>
        <w:t xml:space="preserve">in both timeperiods, draw the appropriate number for each time period without replacement.</w:t>
      </w:r>
    </w:p>
    <w:p>
      <w:pPr>
        <w:pStyle w:val="Compact"/>
        <w:numPr>
          <w:numId w:val="1012"/>
          <w:ilvl w:val="3"/>
        </w:numPr>
      </w:pPr>
      <w:r>
        <w:t xml:space="preserve">KS test comparing</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for the reshuffled communities</w:t>
      </w:r>
    </w:p>
    <w:p>
      <w:pPr>
        <w:pStyle w:val="Compact"/>
        <w:numPr>
          <w:numId w:val="1012"/>
          <w:ilvl w:val="3"/>
        </w:numPr>
      </w:pPr>
      <w:r>
        <w:t xml:space="preserve">Repeat 500x and retain the test statistic (D) for all tests</w:t>
      </w:r>
    </w:p>
    <w:p>
      <w:pPr>
        <w:pStyle w:val="Compact"/>
        <w:numPr>
          <w:numId w:val="1012"/>
          <w:ilvl w:val="3"/>
        </w:numPr>
      </w:pPr>
      <w:r>
        <w:t xml:space="preserve">Compute the percentile and standardized effect size</w:t>
      </w:r>
      <w:r>
        <w:t xml:space="preserve"> </w:t>
      </w:r>
      <w:r>
        <w:t xml:space="preserve">(</w:t>
      </w:r>
      <w:r>
        <w:rPr>
          <w:b/>
        </w:rPr>
        <w:t xml:space="preserve">???</w:t>
      </w:r>
      <w:r>
        <w:t xml:space="preserve">)</w:t>
      </w:r>
      <w:r>
        <w:t xml:space="preserve"> </w:t>
      </w:r>
      <w:r>
        <w:t xml:space="preserve">for the test statistic for the</w:t>
      </w:r>
      <w:r>
        <w:t xml:space="preserve"> </w:t>
      </w:r>
      <w:r>
        <w:rPr>
          <w:i/>
        </w:rPr>
        <w:t xml:space="preserve">actual</w:t>
      </w:r>
      <w:r>
        <w:t xml:space="preserve"> </w:t>
      </w:r>
      <w:r>
        <w:t xml:space="preserve">time periods to the distribution of test statistics for the reshuffles</w:t>
      </w:r>
    </w:p>
    <w:p>
      <w:pPr>
        <w:pStyle w:val="Compact"/>
        <w:numPr>
          <w:numId w:val="1010"/>
          <w:ilvl w:val="1"/>
        </w:numPr>
      </w:pPr>
      <w:r>
        <w:t xml:space="preserve">For an intuitive measure of the magnitude of change over time, we compute an overlap measure derived from</w:t>
      </w:r>
      <w:r>
        <w:t xml:space="preserve"> </w:t>
      </w:r>
      <w:r>
        <w:t xml:space="preserve">(Read et al. 2018)</w:t>
      </w:r>
      <w:r>
        <w:t xml:space="preserve">:</w:t>
      </w:r>
    </w:p>
    <w:p>
      <w:pPr>
        <w:pStyle w:val="Compact"/>
        <w:numPr>
          <w:numId w:val="1013"/>
          <w:ilvl w:val="2"/>
        </w:numPr>
      </w:pPr>
      <w:r>
        <w:t xml:space="preserve">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then rescale the density function so the total area under the ISD is 1.</w:t>
      </w:r>
    </w:p>
    <w:p>
      <w:pPr>
        <w:pStyle w:val="Compact"/>
        <w:numPr>
          <w:numId w:val="1013"/>
          <w:ilvl w:val="2"/>
        </w:numPr>
      </w:pPr>
      <w:r>
        <w:t xml:space="preserve">We calculate the overlap between two ISDs as the sum of the minimum density at each evaluation point. This ranges from 0 (no overlap) to 1 (complete overlap).</w:t>
      </w:r>
    </w:p>
    <w:p>
      <w:pPr>
        <w:pStyle w:val="FirstParagraph"/>
      </w:pPr>
      <w:r>
        <w:drawing>
          <wp:inline>
            <wp:extent cx="4267200" cy="2438400"/>
            <wp:effectExtent b="0" l="0" r="0" t="0"/>
            <wp:docPr descr="" title="" id="1" name="Picture"/>
            <a:graphic>
              <a:graphicData uri="http://schemas.openxmlformats.org/drawingml/2006/picture">
                <pic:pic>
                  <pic:nvPicPr>
                    <pic:cNvPr descr="rough_outline_files/figure-docx/unnamed-chunk-1-1.png" id="0" name="Picture"/>
                    <pic:cNvPicPr>
                      <a:picLocks noChangeArrowheads="1" noChangeAspect="1"/>
                    </pic:cNvPicPr>
                  </pic:nvPicPr>
                  <pic:blipFill>
                    <a:blip r:embed="rId25"/>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rough_outline_files/figure-docx/unnamed-chunk-1-2.png" id="0" name="Picture"/>
                    <pic:cNvPicPr>
                      <a:picLocks noChangeArrowheads="1" noChangeAspect="1"/>
                    </pic:cNvPicPr>
                  </pic:nvPicPr>
                  <pic:blipFill>
                    <a:blip r:embed="rId26"/>
                    <a:stretch>
                      <a:fillRect/>
                    </a:stretch>
                  </pic:blipFill>
                  <pic:spPr bwMode="auto">
                    <a:xfrm>
                      <a:off x="0" y="0"/>
                      <a:ext cx="4267200" cy="2438400"/>
                    </a:xfrm>
                    <a:prstGeom prst="rect">
                      <a:avLst/>
                    </a:prstGeom>
                    <a:noFill/>
                    <a:ln w="9525">
                      <a:noFill/>
                      <a:headEnd/>
                      <a:tailEnd/>
                    </a:ln>
                  </pic:spPr>
                </pic:pic>
              </a:graphicData>
            </a:graphic>
          </wp:inline>
        </w:drawing>
      </w:r>
    </w:p>
    <w:p>
      <w:pPr>
        <w:pStyle w:val="BodyText"/>
      </w:pPr>
      <w:r>
        <w:t xml:space="preserve">For this site, the KS test p value is 0. The observed test statistic has a percentile of 1 and SES of 11.58 compared to 500 shuffles. The observed ISDs have an overlap of 0.81.</w:t>
      </w:r>
    </w:p>
    <w:p>
      <w:pPr>
        <w:pStyle w:val="Heading2"/>
      </w:pPr>
      <w:bookmarkStart w:id="27" w:name="X2808d49d7c2fa93fdb0185a5599de43f96f2cbc"/>
      <w:r>
        <w:t xml:space="preserve">Decoupling of dynamics in total abundance, biomass, and energy use over time</w:t>
      </w:r>
      <w:bookmarkEnd w:id="27"/>
    </w:p>
    <w:p>
      <w:pPr>
        <w:pStyle w:val="Heading3"/>
      </w:pPr>
      <w:bookmarkStart w:id="28" w:name="sims"/>
      <w:r>
        <w:t xml:space="preserve">Sims</w:t>
      </w:r>
      <w:bookmarkEnd w:id="28"/>
    </w:p>
    <w:p>
      <w:pPr>
        <w:pStyle w:val="Compact"/>
        <w:numPr>
          <w:numId w:val="1014"/>
          <w:ilvl w:val="0"/>
        </w:numPr>
      </w:pPr>
      <w:r>
        <w:t xml:space="preserve">To test whether change in the ISD results in decoupling of currencies, we can’t just compare the slopes for total energy, total biomass, total abundance to each other. This is because the three different currencies are on radically different scales of measurement. We also can’t rescale using the usual methods (e.g. scale to mean 0/sd 1,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w:t>
      </w:r>
    </w:p>
    <w:p>
      <w:pPr>
        <w:pStyle w:val="Compact"/>
        <w:numPr>
          <w:numId w:val="1014"/>
          <w:ilvl w:val="0"/>
        </w:numPr>
      </w:pPr>
      <w:r>
        <w:t xml:space="preserve">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 Enter Null Model A.</w:t>
      </w:r>
    </w:p>
    <w:p>
      <w:pPr>
        <w:pStyle w:val="Compact"/>
        <w:numPr>
          <w:numId w:val="1015"/>
          <w:ilvl w:val="1"/>
        </w:numPr>
      </w:pPr>
      <w:r>
        <w:t xml:space="preserve">Figures and functions walking through this procedure are at</w:t>
      </w:r>
      <w:r>
        <w:t xml:space="preserve"> </w:t>
      </w:r>
      <w:hyperlink r:id="rId29">
        <w:r>
          <w:rPr>
            <w:rStyle w:val="Hyperlink"/>
          </w:rPr>
          <w:t xml:space="preserve">https://github.com/diazrenata/redwing/blob/resim-cleanup/aspirational_structure/methods_vignettes/change_over_time/02_01_change_over_time_sims.md</w:t>
        </w:r>
      </w:hyperlink>
      <w:r>
        <w:t xml:space="preserve"> </w:t>
      </w:r>
      <w:r>
        <w:t xml:space="preserve">but they’re a little rough.</w:t>
      </w:r>
    </w:p>
    <w:p>
      <w:pPr>
        <w:pStyle w:val="Compact"/>
        <w:numPr>
          <w:numId w:val="1014"/>
          <w:ilvl w:val="0"/>
        </w:numPr>
      </w:pPr>
      <w:r>
        <w:t xml:space="preserve">Simulate change in total energy and total biomass under</w:t>
      </w:r>
      <w:r>
        <w:t xml:space="preserve"> </w:t>
      </w:r>
      <w:r>
        <w:t xml:space="preserve">“</w:t>
      </w:r>
      <w:r>
        <w:t xml:space="preserve">no change in ISD</w:t>
      </w:r>
      <w:r>
        <w:t xml:space="preserve">”</w:t>
      </w:r>
      <w:r>
        <w:t xml:space="preserve"> </w:t>
      </w:r>
      <w:r>
        <w:t xml:space="preserve">and</w:t>
      </w:r>
      <w:r>
        <w:t xml:space="preserve"> </w:t>
      </w:r>
      <w:r>
        <w:t xml:space="preserve">“</w:t>
      </w:r>
      <w:r>
        <w:t xml:space="preserve">observed change in ISD</w:t>
      </w:r>
      <w:r>
        <w:t xml:space="preserve">”</w:t>
      </w:r>
      <w:r>
        <w:t xml:space="preserve"> </w:t>
      </w:r>
      <w:r>
        <w:t xml:space="preserve">scenarios</w:t>
      </w:r>
    </w:p>
    <w:p>
      <w:pPr>
        <w:pStyle w:val="Compact"/>
        <w:numPr>
          <w:numId w:val="1016"/>
          <w:ilvl w:val="1"/>
        </w:numPr>
      </w:pPr>
      <w:r>
        <w:t xml:space="preserve">We construct sampling GMM for each time period.</w:t>
      </w:r>
    </w:p>
    <w:p>
      <w:pPr>
        <w:pStyle w:val="Compact"/>
        <w:numPr>
          <w:numId w:val="1017"/>
          <w:ilvl w:val="2"/>
        </w:numPr>
      </w:pPr>
      <w:r>
        <w:t xml:space="preserve">The</w:t>
      </w:r>
      <w:r>
        <w:t xml:space="preserve"> </w:t>
      </w:r>
      <w:r>
        <w:t xml:space="preserve">“</w:t>
      </w:r>
      <w:r>
        <w:t xml:space="preserve">sampling GMM</w:t>
      </w:r>
      <w:r>
        <w:t xml:space="preserve">”</w:t>
      </w:r>
      <w:r>
        <w:t xml:space="preserve"> </w:t>
      </w:r>
      <w:r>
        <w:t xml:space="preserve">is a probability density function with the probability of observing an individual of a given mass across the spectrum of possible masses. Sampling</w:t>
      </w:r>
      <w:r>
        <w:t xml:space="preserve"> </w:t>
      </w:r>
      <w:r>
        <w:rPr>
          <w:rStyle w:val="VerbatimChar"/>
        </w:rPr>
        <w:t xml:space="preserve">$mass</w:t>
      </w:r>
      <w:r>
        <w:t xml:space="preserve"> </w:t>
      </w:r>
      <w:r>
        <w:t xml:space="preserve">with probability</w:t>
      </w:r>
      <w:r>
        <w:t xml:space="preserve"> </w:t>
      </w:r>
      <w:r>
        <w:rPr>
          <w:rStyle w:val="VerbatimChar"/>
        </w:rPr>
        <w:t xml:space="preserve">$density</w:t>
      </w:r>
      <w:r>
        <w:t xml:space="preserve"> </w:t>
      </w:r>
      <w:r>
        <w:t xml:space="preserve">is a random number generator for sizes.</w:t>
      </w:r>
    </w:p>
    <w:p>
      <w:pPr>
        <w:pStyle w:val="Compact"/>
        <w:numPr>
          <w:numId w:val="1017"/>
          <w:ilvl w:val="2"/>
        </w:numPr>
      </w:pPr>
      <w:r>
        <w:t xml:space="preserve">We construct this by drawing individuals (based on their species’ abundances and mean and SD body sizes), fitting a GMM, and then rescaling the density function of the GMM so it sums to 1.</w:t>
      </w:r>
      <w:r>
        <w:t xml:space="preserve"> </w:t>
      </w:r>
      <w:r>
        <w:t xml:space="preserve">1.For this, because there is some sampling error, I draw 5 copies of the ISD and fit the GMM to the combined 5 draws. This doesn’t affect anything in practice and is mostly inspired by a one-off comment from Allen Hurlbert about</w:t>
      </w:r>
      <w:r>
        <w:t xml:space="preserve"> </w:t>
      </w:r>
      <w:r>
        <w:t xml:space="preserve">“</w:t>
      </w:r>
      <w:r>
        <w:t xml:space="preserve">sampling error</w:t>
      </w:r>
      <w:r>
        <w:t xml:space="preserve">”</w:t>
      </w:r>
      <w:r>
        <w:t xml:space="preserve"> </w:t>
      </w:r>
      <w:r>
        <w:t xml:space="preserve">so I might drop it. We construct sampling ISDs for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time periods.</w:t>
      </w:r>
    </w:p>
    <w:p>
      <w:pPr>
        <w:pStyle w:val="Compact"/>
        <w:numPr>
          <w:numId w:val="1016"/>
          <w:ilvl w:val="1"/>
        </w:numPr>
      </w:pPr>
      <w:r>
        <w:t xml:space="preserve">We then</w:t>
      </w:r>
      <w:r>
        <w:t xml:space="preserve"> </w:t>
      </w:r>
      <w:r>
        <w:rPr>
          <w:i/>
        </w:rPr>
        <w:t xml:space="preserve">re draw</w:t>
      </w:r>
      <w:r>
        <w:t xml:space="preserve"> </w:t>
      </w:r>
      <w:r>
        <w:t xml:space="preserve">individuals for each time period and shuffle the ISDs to produce scenarios.</w:t>
      </w:r>
    </w:p>
    <w:p>
      <w:pPr>
        <w:pStyle w:val="Compact"/>
        <w:numPr>
          <w:numId w:val="1018"/>
          <w:ilvl w:val="2"/>
        </w:numPr>
      </w:pPr>
      <w:r>
        <w:t xml:space="preserve">First, we draw individuals for each year using the actual ISD for that time period (so the</w:t>
      </w:r>
      <w:r>
        <w:t xml:space="preserve"> </w:t>
      </w:r>
      <w:r>
        <w:t xml:space="preserve">“</w:t>
      </w:r>
      <w:r>
        <w:t xml:space="preserve">begin</w:t>
      </w:r>
      <w:r>
        <w:t xml:space="preserve">”</w:t>
      </w:r>
      <w:r>
        <w:t xml:space="preserve"> </w:t>
      </w:r>
      <w:r>
        <w:t xml:space="preserve">ISD for 1988-1992 and the</w:t>
      </w:r>
      <w:r>
        <w:t xml:space="preserve"> </w:t>
      </w:r>
      <w:r>
        <w:t xml:space="preserve">“</w:t>
      </w:r>
      <w:r>
        <w:t xml:space="preserve">end</w:t>
      </w:r>
      <w:r>
        <w:t xml:space="preserve">”</w:t>
      </w:r>
      <w:r>
        <w:t xml:space="preserve"> </w:t>
      </w:r>
      <w:r>
        <w:t xml:space="preserve">ISD for 2014-2018).</w:t>
      </w:r>
    </w:p>
    <w:p>
      <w:pPr>
        <w:pStyle w:val="Compact"/>
        <w:numPr>
          <w:numId w:val="1018"/>
          <w:ilvl w:val="2"/>
        </w:numPr>
      </w:pPr>
      <w:r>
        <w:t xml:space="preserve">Then we draw individuals for each year, but using the</w:t>
      </w:r>
      <w:r>
        <w:t xml:space="preserve"> </w:t>
      </w:r>
      <w:r>
        <w:t xml:space="preserve">“</w:t>
      </w:r>
      <w:r>
        <w:t xml:space="preserve">begin</w:t>
      </w:r>
      <w:r>
        <w:t xml:space="preserve">”</w:t>
      </w:r>
      <w:r>
        <w:t xml:space="preserve"> </w:t>
      </w:r>
      <w:r>
        <w:t xml:space="preserve">ISD for all years.</w:t>
      </w:r>
    </w:p>
    <w:p>
      <w:pPr>
        <w:pStyle w:val="Compact"/>
        <w:numPr>
          <w:numId w:val="1018"/>
          <w:ilvl w:val="2"/>
        </w:numPr>
      </w:pPr>
      <w:r>
        <w:t xml:space="preserve">We draw year-by-year, instead of the whole time period, because there is interannual, intratimeperiod variation in total abundance that we would like to capture. But we pool individuals within a time period to create the ISD to smooth out species accumulation.</w:t>
      </w:r>
    </w:p>
    <w:p>
      <w:pPr>
        <w:pStyle w:val="Compact"/>
        <w:numPr>
          <w:numId w:val="1018"/>
          <w:ilvl w:val="2"/>
        </w:numPr>
      </w:pPr>
      <w:r>
        <w:t xml:space="preserve">Draws from sampling ISDs like this diverge slightly from draws from the raw species counts and sds. So we run everything through this pipeline for comparability.</w:t>
      </w:r>
    </w:p>
    <w:p>
      <w:pPr>
        <w:pStyle w:val="Compact"/>
        <w:numPr>
          <w:numId w:val="1014"/>
          <w:ilvl w:val="0"/>
        </w:numPr>
      </w:pPr>
      <w:r>
        <w:t xml:space="preserve">We compute total energy use and total biomass for each year for each scenario.</w:t>
      </w:r>
    </w:p>
    <w:p>
      <w:pPr>
        <w:pStyle w:val="Compact"/>
        <w:numPr>
          <w:numId w:val="1019"/>
          <w:ilvl w:val="1"/>
        </w:numPr>
      </w:pPr>
      <w:r>
        <w:t xml:space="preserve">Again because there is some sampling error, we repeat the re-drawing of individuals 5 times and compute the mean total biomass/total energy use across draws. Again I don’t think this really affects stuff in aggregate and I could be talked out of it.</w:t>
      </w:r>
    </w:p>
    <w:p>
      <w:pPr>
        <w:pStyle w:val="FirstParagraph"/>
      </w:pPr>
      <w:r>
        <w:drawing>
          <wp:inline>
            <wp:extent cx="4267200" cy="4267200"/>
            <wp:effectExtent b="0" l="0" r="0" t="0"/>
            <wp:docPr descr="" title="" id="1" name="Picture"/>
            <a:graphic>
              <a:graphicData uri="http://schemas.openxmlformats.org/drawingml/2006/picture">
                <pic:pic>
                  <pic:nvPicPr>
                    <pic:cNvPr descr="rough_outline_files/figure-docx/unnamed-chunk-3-1.png" id="0" name="Picture"/>
                    <pic:cNvPicPr>
                      <a:picLocks noChangeArrowheads="1" noChangeAspect="1"/>
                    </pic:cNvPicPr>
                  </pic:nvPicPr>
                  <pic:blipFill>
                    <a:blip r:embed="rId30"/>
                    <a:stretch>
                      <a:fillRect/>
                    </a:stretch>
                  </pic:blipFill>
                  <pic:spPr bwMode="auto">
                    <a:xfrm>
                      <a:off x="0" y="0"/>
                      <a:ext cx="4267200" cy="4267200"/>
                    </a:xfrm>
                    <a:prstGeom prst="rect">
                      <a:avLst/>
                    </a:prstGeom>
                    <a:noFill/>
                    <a:ln w="9525">
                      <a:noFill/>
                      <a:headEnd/>
                      <a:tailEnd/>
                    </a:ln>
                  </pic:spPr>
                </pic:pic>
              </a:graphicData>
            </a:graphic>
          </wp:inline>
        </w:drawing>
      </w:r>
      <w:r>
        <w:drawing>
          <wp:inline>
            <wp:extent cx="4267200" cy="4267200"/>
            <wp:effectExtent b="0" l="0" r="0" t="0"/>
            <wp:docPr descr="" title="" id="1" name="Picture"/>
            <a:graphic>
              <a:graphicData uri="http://schemas.openxmlformats.org/drawingml/2006/picture">
                <pic:pic>
                  <pic:nvPicPr>
                    <pic:cNvPr descr="rough_outline_files/figure-docx/unnamed-chunk-3-2.png" id="0" name="Picture"/>
                    <pic:cNvPicPr>
                      <a:picLocks noChangeArrowheads="1" noChangeAspect="1"/>
                    </pic:cNvPicPr>
                  </pic:nvPicPr>
                  <pic:blipFill>
                    <a:blip r:embed="rId31"/>
                    <a:stretch>
                      <a:fillRect/>
                    </a:stretch>
                  </pic:blipFill>
                  <pic:spPr bwMode="auto">
                    <a:xfrm>
                      <a:off x="0" y="0"/>
                      <a:ext cx="4267200" cy="4267200"/>
                    </a:xfrm>
                    <a:prstGeom prst="rect">
                      <a:avLst/>
                    </a:prstGeom>
                    <a:noFill/>
                    <a:ln w="9525">
                      <a:noFill/>
                      <a:headEnd/>
                      <a:tailEnd/>
                    </a:ln>
                  </pic:spPr>
                </pic:pic>
              </a:graphicData>
            </a:graphic>
          </wp:inline>
        </w:drawing>
      </w:r>
    </w:p>
    <w:p>
      <w:pPr>
        <w:pStyle w:val="BodyText"/>
      </w:pPr>
      <w:r>
        <w:t xml:space="preserve">Here, the</w:t>
      </w:r>
      <w:r>
        <w:t xml:space="preserve"> </w:t>
      </w:r>
      <w:r>
        <w:t xml:space="preserve">“</w:t>
      </w:r>
      <w:r>
        <w:t xml:space="preserve">abundance</w:t>
      </w:r>
      <w:r>
        <w:t xml:space="preserve">”</w:t>
      </w:r>
      <w:r>
        <w:t xml:space="preserve"> </w:t>
      </w:r>
      <w:r>
        <w:t xml:space="preserve">lines (red) reflect change in total biomass expected due only to changes in abundance. The</w:t>
      </w:r>
      <w:r>
        <w:t xml:space="preserve"> </w:t>
      </w:r>
      <w:r>
        <w:t xml:space="preserve">“</w:t>
      </w:r>
      <w:r>
        <w:t xml:space="preserve">currency</w:t>
      </w:r>
      <w:r>
        <w:t xml:space="preserve">”</w:t>
      </w:r>
      <w:r>
        <w:t xml:space="preserve"> </w:t>
      </w:r>
      <w:r>
        <w:t xml:space="preserve">lines reflect change in total biomass due to change in abundance</w:t>
      </w:r>
      <w:r>
        <w:t xml:space="preserve"> </w:t>
      </w:r>
      <w:r>
        <w:rPr>
          <w:i/>
        </w:rPr>
        <w:t xml:space="preserve">and</w:t>
      </w:r>
      <w:r>
        <w:t xml:space="preserve"> </w:t>
      </w:r>
      <w:r>
        <w:t xml:space="preserve">observed change in the size structure. Deviations in slope between the red and blue lines reflect change driven by the ISD. Note that the lines here are crude linear model smooths and not really suitable for inference, just visualization.</w:t>
      </w:r>
    </w:p>
    <w:p>
      <w:pPr>
        <w:pStyle w:val="Heading3"/>
      </w:pPr>
      <w:bookmarkStart w:id="32" w:name="testing-change"/>
      <w:r>
        <w:t xml:space="preserve">Testing change</w:t>
      </w:r>
      <w:bookmarkEnd w:id="32"/>
    </w:p>
    <w:p>
      <w:pPr>
        <w:pStyle w:val="Compact"/>
        <w:numPr>
          <w:numId w:val="1020"/>
          <w:ilvl w:val="0"/>
        </w:numPr>
      </w:pPr>
      <w:r>
        <w:t xml:space="preserve">We use Bayesian linear models to test whether change in the ISD decouples the dynamics of total biomass/total energy use from that which would be expected due to change in abundance.</w:t>
      </w:r>
    </w:p>
    <w:p>
      <w:pPr>
        <w:pStyle w:val="Compact"/>
        <w:numPr>
          <w:numId w:val="1021"/>
          <w:ilvl w:val="1"/>
        </w:numPr>
      </w:pPr>
      <w:r>
        <w:t xml:space="preserve">We evaluate change at the route level. I tried fitting everything within one hierarchical model, but the hierarachical model attributes a lot of variation to getting the right intercept for each route (which we don’t care about) and does a really bad job estimating within-route slopes and decoupling (which is what we do care about). It’s also ridiculously hard to compute for a large number of routes and I never managed to run it on the full dataset. These are challenges you don’t run into if - like</w:t>
      </w:r>
      <w:r>
        <w:t xml:space="preserve"> </w:t>
      </w:r>
      <w:r>
        <w:t xml:space="preserve">Dornelas et al. (2014)</w:t>
      </w:r>
      <w:r>
        <w:t xml:space="preserve"> </w:t>
      </w:r>
      <w:r>
        <w:t xml:space="preserve">- you’re only interested in change in one currency per site. We care most about the</w:t>
      </w:r>
      <w:r>
        <w:t xml:space="preserve"> </w:t>
      </w:r>
      <w:r>
        <w:rPr>
          <w:i/>
        </w:rPr>
        <w:t xml:space="preserve">decoupling</w:t>
      </w:r>
      <w:r>
        <w:t xml:space="preserve"> </w:t>
      </w:r>
      <w:r>
        <w:t xml:space="preserve">of slopes at the route level. The use of a Bayesian framework helps us offset some of the issues around p-values if we were to do this many models in a frequentist setting.</w:t>
      </w:r>
    </w:p>
    <w:p>
      <w:pPr>
        <w:pStyle w:val="Compact"/>
        <w:numPr>
          <w:numId w:val="1021"/>
          <w:ilvl w:val="1"/>
        </w:numPr>
      </w:pPr>
      <w:r>
        <w:t xml:space="preserve">Figures and functions here:</w:t>
      </w:r>
      <w:r>
        <w:t xml:space="preserve"> </w:t>
      </w:r>
      <w:hyperlink r:id="rId33">
        <w:r>
          <w:rPr>
            <w:rStyle w:val="Hyperlink"/>
          </w:rPr>
          <w:t xml:space="preserve">https://github.com/diazrenata/redwing/blob/resim-cleanup/aspirational_structure/methods_vignettes/change_over_time/02_02_testing_change.md</w:t>
        </w:r>
      </w:hyperlink>
      <w:r>
        <w:t xml:space="preserve"> </w:t>
      </w:r>
      <w:r>
        <w:t xml:space="preserve">(but rough)</w:t>
      </w:r>
    </w:p>
    <w:p>
      <w:pPr>
        <w:pStyle w:val="Compact"/>
        <w:numPr>
          <w:numId w:val="1020"/>
          <w:ilvl w:val="0"/>
        </w:numPr>
      </w:pPr>
      <w:r>
        <w:t xml:space="preserve">For each currency for each route, we fit 3 models:</w:t>
      </w:r>
    </w:p>
    <w:p>
      <w:pPr>
        <w:pStyle w:val="Compact"/>
        <w:numPr>
          <w:numId w:val="1022"/>
          <w:ilvl w:val="1"/>
        </w:numPr>
      </w:pPr>
      <w:r>
        <w:rPr>
          <w:rStyle w:val="VerbatimChar"/>
        </w:rPr>
        <w:t xml:space="preserve">total_biomass ~ timeperiod * scenario</w:t>
      </w:r>
      <w:r>
        <w:t xml:space="preserve">,</w:t>
      </w:r>
      <w:r>
        <w:t xml:space="preserve"> </w:t>
      </w:r>
      <w:r>
        <w:rPr>
          <w:rStyle w:val="VerbatimChar"/>
        </w:rPr>
        <w:t xml:space="preserve">total_biomass ~ timeperiod</w:t>
      </w:r>
      <w:r>
        <w:t xml:space="preserve">,</w:t>
      </w:r>
      <w:r>
        <w:t xml:space="preserve"> </w:t>
      </w:r>
      <w:r>
        <w:rPr>
          <w:rStyle w:val="VerbatimChar"/>
        </w:rPr>
        <w:t xml:space="preserve">total_biomass ~ 1</w:t>
      </w:r>
    </w:p>
    <w:p>
      <w:pPr>
        <w:pStyle w:val="Compact"/>
        <w:numPr>
          <w:numId w:val="1022"/>
          <w:ilvl w:val="1"/>
        </w:numPr>
      </w:pPr>
      <w:r>
        <w:t xml:space="preserve">We used LOO-crossvalidation to select the best-fitting model as the simplest model with an ELPD within 1 SE of the best-fitting model.</w:t>
      </w:r>
    </w:p>
    <w:p>
      <w:pPr>
        <w:pStyle w:val="Compact"/>
        <w:numPr>
          <w:numId w:val="1022"/>
          <w:ilvl w:val="1"/>
        </w:numPr>
      </w:pPr>
      <w:r>
        <w:t xml:space="preserve">We used</w:t>
      </w:r>
      <w:r>
        <w:t xml:space="preserve"> </w:t>
      </w:r>
      <w:r>
        <w:rPr>
          <w:rStyle w:val="VerbatimChar"/>
        </w:rPr>
        <w:t xml:space="preserve">reloo</w:t>
      </w:r>
      <w:r>
        <w:t xml:space="preserve"> </w:t>
      </w:r>
      <w:r>
        <w:t xml:space="preserve">to correct for outliers.</w:t>
      </w:r>
    </w:p>
    <w:p>
      <w:pPr>
        <w:pStyle w:val="Compact"/>
        <w:numPr>
          <w:numId w:val="1022"/>
          <w:ilvl w:val="1"/>
        </w:numPr>
      </w:pPr>
      <w:r>
        <w:t xml:space="preserve">We fit as Gaussians with default priors, run for 8000 iterations. We fit as Gaussians to avoid having to deal with back-transforming the parameter estimates (and because when I coerced to other family distributions I got tons of convergence issues). Running for 8000 iterations is extremely generous for these models.</w:t>
      </w:r>
    </w:p>
    <w:p>
      <w:pPr>
        <w:pStyle w:val="Compact"/>
        <w:numPr>
          <w:numId w:val="1020"/>
          <w:ilvl w:val="0"/>
        </w:numPr>
      </w:pPr>
      <w:r>
        <w:t xml:space="preserve">If the best-fitting model does not include the scenario term, it means that the change in the ISD does not ~significantly decouple the dynamics of total energy/biomass from that which is driven by changes in abundance. If there is no</w:t>
      </w:r>
      <w:r>
        <w:t xml:space="preserve"> </w:t>
      </w:r>
      <w:r>
        <w:rPr>
          <w:b/>
        </w:rPr>
        <w:t xml:space="preserve">timeperiod</w:t>
      </w:r>
      <w:r>
        <w:t xml:space="preserve"> </w:t>
      </w:r>
      <w:r>
        <w:t xml:space="preserve">term, it means that there’s not a ~significant change begin-end.</w:t>
      </w:r>
    </w:p>
    <w:p>
      <w:pPr>
        <w:pStyle w:val="Compact"/>
        <w:numPr>
          <w:numId w:val="1020"/>
          <w:ilvl w:val="0"/>
        </w:numPr>
      </w:pPr>
      <w:r>
        <w:t xml:space="preserve">We extract parameter estimates from the best-fitting model to examine the magnitude and direction of change beginning-to-end and decoupling due to change in the ISD.</w:t>
      </w:r>
    </w:p>
    <w:p>
      <w:pPr>
        <w:pStyle w:val="Compact"/>
        <w:numPr>
          <w:numId w:val="1020"/>
          <w:ilvl w:val="0"/>
        </w:numPr>
      </w:pPr>
      <w:r>
        <w:t xml:space="preserve">We do this for all the routes and tally:</w:t>
      </w:r>
    </w:p>
    <w:p>
      <w:pPr>
        <w:pStyle w:val="Compact"/>
        <w:numPr>
          <w:numId w:val="1023"/>
          <w:ilvl w:val="1"/>
        </w:numPr>
      </w:pPr>
      <w:r>
        <w:t xml:space="preserve">How often the best model includes the</w:t>
      </w:r>
      <w:r>
        <w:t xml:space="preserve"> </w:t>
      </w:r>
      <w:r>
        <w:t xml:space="preserve">“</w:t>
      </w:r>
      <w:r>
        <w:t xml:space="preserve">source</w:t>
      </w:r>
      <w:r>
        <w:t xml:space="preserve">”</w:t>
      </w:r>
      <w:r>
        <w:t xml:space="preserve"> </w:t>
      </w:r>
      <w:r>
        <w:t xml:space="preserve">term (meaning there’s a decoupling); how often there’s a timeperiod but no source term (meaning there’s change over time, but that biomass/energy use do not diverge from abundance); how often there’s no timeperiod term (meaning no ~significant change begin to end)</w:t>
      </w:r>
    </w:p>
    <w:p>
      <w:pPr>
        <w:pStyle w:val="Compact"/>
        <w:numPr>
          <w:numId w:val="1023"/>
          <w:ilvl w:val="1"/>
        </w:numPr>
      </w:pPr>
      <w:r>
        <w:t xml:space="preserve">For models with change over time (timeperiod, or timeperiod + source), how often the</w:t>
      </w:r>
      <w:r>
        <w:t xml:space="preserve"> </w:t>
      </w:r>
      <w:r>
        <w:rPr>
          <w:b/>
        </w:rPr>
        <w:t xml:space="preserve">abundance-driven</w:t>
      </w:r>
      <w:r>
        <w:t xml:space="preserve"> </w:t>
      </w:r>
      <w:r>
        <w:t xml:space="preserve">trajectory is increasing/decreasing (how often the 95% credible interval for the timeperiod term is &gt;/&lt; 0)</w:t>
      </w:r>
    </w:p>
    <w:p>
      <w:pPr>
        <w:pStyle w:val="Compact"/>
        <w:numPr>
          <w:numId w:val="1023"/>
          <w:ilvl w:val="1"/>
        </w:numPr>
      </w:pPr>
      <w:r>
        <w:t xml:space="preserve">For models with change over time and a decoupling, how often the biomass/energy use offset is positive or negative (how often the 95% CI for the timeperiod:source term is &gt;/&lt; 0). Positive offsets mean that the change in biomass/energy use is less negative than change in abundance; negative offsets mean that the currency is more negative.</w:t>
      </w:r>
    </w:p>
    <w:p>
      <w:pPr>
        <w:pStyle w:val="Compact"/>
        <w:numPr>
          <w:numId w:val="1023"/>
          <w:ilvl w:val="1"/>
        </w:numPr>
      </w:pPr>
      <w:r>
        <w:t xml:space="preserve">We can then also visualize these offsets for a gauge of magnitude but it gets kind of gross.</w:t>
      </w:r>
    </w:p>
    <w:p>
      <w:pPr>
        <w:pStyle w:val="Compact"/>
        <w:numPr>
          <w:numId w:val="1020"/>
          <w:ilvl w:val="0"/>
        </w:numPr>
      </w:pPr>
      <w:r>
        <w:t xml:space="preserve">I ran this whole pipeline on some</w:t>
      </w:r>
      <w:r>
        <w:t xml:space="preserve"> </w:t>
      </w:r>
      <w:r>
        <w:t xml:space="preserve">“</w:t>
      </w:r>
      <w:r>
        <w:t xml:space="preserve">quality control</w:t>
      </w:r>
      <w:r>
        <w:t xml:space="preserve">”</w:t>
      </w:r>
      <w:r>
        <w:t xml:space="preserve"> </w:t>
      </w:r>
      <w:r>
        <w:t xml:space="preserve">sims where 1) neither abundance nor the ISD changes begin-end and 2) the ISD doesn’t change begin-end for either scenario. It behaves as expected for those.</w:t>
      </w:r>
    </w:p>
    <w:p>
      <w:pPr>
        <w:pStyle w:val="FirstParagraph"/>
      </w:pPr>
      <w:r>
        <w:t xml:space="preserve">For this site, the winning models are:</w:t>
      </w:r>
    </w:p>
    <w:p>
      <w:pPr>
        <w:pStyle w:val="SourceCode"/>
      </w:pPr>
      <w:r>
        <w:rPr>
          <w:rStyle w:val="VerbatimChar"/>
        </w:rPr>
        <w:t xml:space="preserve">## # A tibble: 6 × 3</w:t>
      </w:r>
      <w:r>
        <w:br/>
      </w:r>
      <w:r>
        <w:rPr>
          <w:rStyle w:val="VerbatimChar"/>
        </w:rPr>
        <w:t xml:space="preserve">##   simtype      currency model             </w:t>
      </w:r>
      <w:r>
        <w:br/>
      </w:r>
      <w:r>
        <w:rPr>
          <w:rStyle w:val="VerbatimChar"/>
        </w:rPr>
        <w:t xml:space="preserve">##   &lt;chr&gt;        &lt;chr&gt;    &lt;chr&gt;             </w:t>
      </w:r>
      <w:r>
        <w:br/>
      </w:r>
      <w:r>
        <w:rPr>
          <w:rStyle w:val="VerbatimChar"/>
        </w:rPr>
        <w:t xml:space="preserve">## 1 actual       biomass  tb_stanlm_full    </w:t>
      </w:r>
      <w:r>
        <w:br/>
      </w:r>
      <w:r>
        <w:rPr>
          <w:rStyle w:val="VerbatimChar"/>
        </w:rPr>
        <w:t xml:space="preserve">## 2 actual       energy   te_stanlm_full    </w:t>
      </w:r>
      <w:r>
        <w:br/>
      </w:r>
      <w:r>
        <w:rPr>
          <w:rStyle w:val="VerbatimChar"/>
        </w:rPr>
        <w:t xml:space="preserve">## 3 nochange     biomass  tb_stanlm_notime  </w:t>
      </w:r>
      <w:r>
        <w:br/>
      </w:r>
      <w:r>
        <w:rPr>
          <w:rStyle w:val="VerbatimChar"/>
        </w:rPr>
        <w:t xml:space="preserve">## 4 nochange     energy   te_stanlm_notime  </w:t>
      </w:r>
      <w:r>
        <w:br/>
      </w:r>
      <w:r>
        <w:rPr>
          <w:rStyle w:val="VerbatimChar"/>
        </w:rPr>
        <w:t xml:space="preserve">## 5 nosizechange biomass  tb_stanlm_nosource</w:t>
      </w:r>
      <w:r>
        <w:br/>
      </w:r>
      <w:r>
        <w:rPr>
          <w:rStyle w:val="VerbatimChar"/>
        </w:rPr>
        <w:t xml:space="preserve">## 6 nosizechange energy   te_stanlm_nosource</w:t>
      </w:r>
    </w:p>
    <w:p>
      <w:pPr>
        <w:pStyle w:val="FirstParagraph"/>
      </w:pPr>
      <w:r>
        <w:t xml:space="preserve">For the</w:t>
      </w:r>
      <w:r>
        <w:t xml:space="preserve"> </w:t>
      </w:r>
      <w:r>
        <w:t xml:space="preserve">“</w:t>
      </w:r>
      <w:r>
        <w:t xml:space="preserve">actual</w:t>
      </w:r>
      <w:r>
        <w:t xml:space="preserve">”</w:t>
      </w:r>
      <w:r>
        <w:t xml:space="preserve"> </w:t>
      </w:r>
      <w:r>
        <w:t xml:space="preserve">sims, here are the parameter estimates for the slope and offset. Thick bars are the 95% and thin bars are the 99% CIs. For both energy and biomass, the abundance-driven trajectory is an increase, but it’s less of a strong increase for biomass. For both, the currency-driven offset is also an increase, meaning that the change in the ISD caused biomass to increase more than we expect it to just because of the increase in abundance.</w:t>
      </w:r>
    </w:p>
    <w:p>
      <w:pPr>
        <w:pStyle w:val="BodyText"/>
      </w:pPr>
      <w:r>
        <w:drawing>
          <wp:inline>
            <wp:extent cx="4267200" cy="2438400"/>
            <wp:effectExtent b="0" l="0" r="0" t="0"/>
            <wp:docPr descr="" title="" id="1" name="Picture"/>
            <a:graphic>
              <a:graphicData uri="http://schemas.openxmlformats.org/drawingml/2006/picture">
                <pic:pic>
                  <pic:nvPicPr>
                    <pic:cNvPr descr="rough_outline_files/figure-docx/unnamed-chunk-5-1.png" id="0" name="Picture"/>
                    <pic:cNvPicPr>
                      <a:picLocks noChangeArrowheads="1" noChangeAspect="1"/>
                    </pic:cNvPicPr>
                  </pic:nvPicPr>
                  <pic:blipFill>
                    <a:blip r:embed="rId34"/>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rough_outline_files/figure-docx/unnamed-chunk-5-2.png" id="0" name="Picture"/>
                    <pic:cNvPicPr>
                      <a:picLocks noChangeArrowheads="1" noChangeAspect="1"/>
                    </pic:cNvPicPr>
                  </pic:nvPicPr>
                  <pic:blipFill>
                    <a:blip r:embed="rId35"/>
                    <a:stretch>
                      <a:fillRect/>
                    </a:stretch>
                  </pic:blipFill>
                  <pic:spPr bwMode="auto">
                    <a:xfrm>
                      <a:off x="0" y="0"/>
                      <a:ext cx="4267200" cy="2438400"/>
                    </a:xfrm>
                    <a:prstGeom prst="rect">
                      <a:avLst/>
                    </a:prstGeom>
                    <a:noFill/>
                    <a:ln w="9525">
                      <a:noFill/>
                      <a:headEnd/>
                      <a:tailEnd/>
                    </a:ln>
                  </pic:spPr>
                </pic:pic>
              </a:graphicData>
            </a:graphic>
          </wp:inline>
        </w:drawing>
      </w:r>
    </w:p>
    <w:p>
      <w:pPr>
        <w:pStyle w:val="Heading3"/>
      </w:pPr>
      <w:bookmarkStart w:id="36" w:name="core-transient"/>
      <w:r>
        <w:t xml:space="preserve">Core-transient</w:t>
      </w:r>
      <w:bookmarkEnd w:id="36"/>
    </w:p>
    <w:p>
      <w:pPr>
        <w:pStyle w:val="Compact"/>
        <w:numPr>
          <w:numId w:val="1024"/>
          <w:ilvl w:val="0"/>
        </w:numPr>
      </w:pPr>
      <w:r>
        <w:t xml:space="preserve">We run this pipeline on the whole dataset, and using just core species (those present in &gt;= 2/3 of timesteps).</w:t>
      </w:r>
    </w:p>
    <w:p>
      <w:pPr>
        <w:pStyle w:val="Compact"/>
        <w:numPr>
          <w:numId w:val="1024"/>
          <w:ilvl w:val="0"/>
        </w:numPr>
      </w:pPr>
      <w:r>
        <w:t xml:space="preserve">We also explore a null model in which we restrict to the same richness as the core species richness but draw a random set of species.</w:t>
      </w:r>
    </w:p>
    <w:p>
      <w:r>
        <w:br w:type="page"/>
      </w:r>
    </w:p>
    <w:p>
      <w:pPr>
        <w:pStyle w:val="Heading1"/>
      </w:pPr>
      <w:bookmarkStart w:id="37" w:name="references"/>
      <w:r>
        <w:t xml:space="preserve">References</w:t>
      </w:r>
      <w:bookmarkEnd w:id="37"/>
    </w:p>
    <w:bookmarkStart w:id="69" w:name="refs"/>
    <w:bookmarkStart w:id="38" w:name="ref-connolly2005"/>
    <w:p>
      <w:pPr>
        <w:pStyle w:val="Bibliography"/>
      </w:pPr>
      <w:r>
        <w:t xml:space="preserve">Connolly, S. R., T. P. Hughes, D. R. Bellwood, and R. H. Karlson. 2005. Community Structure of Corals and Reef Fishes at Multiple Scales. Science 309:1363–1365.</w:t>
      </w:r>
    </w:p>
    <w:bookmarkEnd w:id="38"/>
    <w:bookmarkStart w:id="39"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39"/>
    <w:bookmarkStart w:id="40"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40"/>
    <w:bookmarkStart w:id="41" w:name="ref-dornelas2011"/>
    <w:p>
      <w:pPr>
        <w:pStyle w:val="Bibliography"/>
      </w:pPr>
      <w:r>
        <w:t xml:space="preserve">Dornelas, M., D. A. T. Phillip, and A. E. Magurran. 2011. Abundance and dominance become less predictable as species richness decreases. Global Ecology and Biogeography 20:832–841.</w:t>
      </w:r>
    </w:p>
    <w:bookmarkEnd w:id="41"/>
    <w:bookmarkStart w:id="42" w:name="ref-ernest2005"/>
    <w:p>
      <w:pPr>
        <w:pStyle w:val="Bibliography"/>
      </w:pPr>
      <w:r>
        <w:t xml:space="preserve">Ernest, S. K. M. 2005. Body size, energy use, and community structure of small mammals. Ecology 86:1407–1413.</w:t>
      </w:r>
    </w:p>
    <w:bookmarkEnd w:id="42"/>
    <w:bookmarkStart w:id="43" w:name="ref-ernest2009"/>
    <w:p>
      <w:pPr>
        <w:pStyle w:val="Bibliography"/>
      </w:pPr>
      <w:r>
        <w:t xml:space="preserve">Ernest, S. K. M., E. P. White, and J. H. Brown. 2009. Changes in a tropical forest support metabolic zero-sum dynamics. Ecology Letters 12:507–515.</w:t>
      </w:r>
    </w:p>
    <w:bookmarkEnd w:id="43"/>
    <w:bookmarkStart w:id="44" w:name="ref-fisher2010"/>
    <w:p>
      <w:pPr>
        <w:pStyle w:val="Bibliography"/>
      </w:pPr>
      <w:r>
        <w:t xml:space="preserve">Fisher, J. A. D., K. T. Frank, and W. C. Leggett. 2010. Dynamic macroecology on ecological time-scales. Global Ecology and Biogeography 19:1–15.</w:t>
      </w:r>
    </w:p>
    <w:bookmarkEnd w:id="44"/>
    <w:bookmarkStart w:id="45" w:name="ref-fristoe2015"/>
    <w:p>
      <w:pPr>
        <w:pStyle w:val="Bibliography"/>
      </w:pPr>
      <w:r>
        <w:t xml:space="preserve">Fristoe, T. S. 2015. Energy use by migrants and residents in North American breeding bird communities. Global Ecology and Biogeography 24:406–415.</w:t>
      </w:r>
    </w:p>
    <w:bookmarkEnd w:id="45"/>
    <w:bookmarkStart w:id="46" w:name="ref-gardner2011"/>
    <w:p>
      <w:pPr>
        <w:pStyle w:val="Bibliography"/>
      </w:pPr>
      <w:r>
        <w:t xml:space="preserve">Gardner, J. L., A. Peters, M. R. Kearney, L. Joseph, and R. Heinsohn. 2011. Declining body size: A third universal response to warming? Trends in Ecology &amp; Evolution 26:285–291.</w:t>
      </w:r>
    </w:p>
    <w:bookmarkEnd w:id="46"/>
    <w:bookmarkStart w:id="47" w:name="ref-gotelli2017"/>
    <w:p>
      <w:pPr>
        <w:pStyle w:val="Bibliography"/>
      </w:pPr>
      <w:r>
        <w:t xml:space="preserve">Gotelli, N. J., H. Shimadzu, M. Dornelas, B. McGill, F. Moyes, and A. E. Magurran. 2017. Community-level regulation of temporal trends in biodiversity. Science Advances 3:e1700315.</w:t>
      </w:r>
    </w:p>
    <w:bookmarkEnd w:id="47"/>
    <w:bookmarkStart w:id="48"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48"/>
    <w:bookmarkStart w:id="49"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49"/>
    <w:bookmarkStart w:id="50" w:name="ref-holling1992"/>
    <w:p>
      <w:pPr>
        <w:pStyle w:val="Bibliography"/>
      </w:pPr>
      <w:r>
        <w:t xml:space="preserve">Holling, C. S. 1992. Cross-Scale Morphology, Geometry, and Dynamics of Ecosystems. Ecological Monographs 62:447–502.</w:t>
      </w:r>
    </w:p>
    <w:bookmarkEnd w:id="50"/>
    <w:bookmarkStart w:id="51"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51"/>
    <w:bookmarkStart w:id="52" w:name="ref-kerr01"/>
    <w:p>
      <w:pPr>
        <w:pStyle w:val="Bibliography"/>
      </w:pPr>
      <w:r>
        <w:t xml:space="preserve">Kerr, S. R., and L. M. Dickie. 1AD. The Biomass Spectrum: A Predator-Prey Theory of Aquatic Production. Columbia University Press.</w:t>
      </w:r>
    </w:p>
    <w:bookmarkEnd w:id="52"/>
    <w:bookmarkStart w:id="53" w:name="ref-macgregor2019"/>
    <w:p>
      <w:pPr>
        <w:pStyle w:val="Bibliography"/>
      </w:pPr>
      <w:r>
        <w:t xml:space="preserve">Macgregor, C. J., J. H. Williams, J. R. Bell, and C. D. Thomas. 2019. Moth biomass increases and decreases over 50 years in Britain. Nature Ecology &amp; Evolution 3:1645–1649.</w:t>
      </w:r>
    </w:p>
    <w:bookmarkEnd w:id="53"/>
    <w:bookmarkStart w:id="54" w:name="ref-mcgill2015"/>
    <w:p>
      <w:pPr>
        <w:pStyle w:val="Bibliography"/>
      </w:pPr>
      <w:r>
        <w:t xml:space="preserve">McGill, B. J., M. Dornelas, N. J. Gotelli, and A. E. Magurran. 2015. Fifteen forms of biodiversity trend in the Anthropocene. Trends in Ecology &amp; Evolution 30:104–113.</w:t>
      </w:r>
    </w:p>
    <w:bookmarkEnd w:id="54"/>
    <w:bookmarkStart w:id="55"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55"/>
    <w:bookmarkStart w:id="56" w:name="ref-petchey2010"/>
    <w:p>
      <w:pPr>
        <w:pStyle w:val="Bibliography"/>
      </w:pPr>
      <w:r>
        <w:t xml:space="preserve">Petchey, O. L., and A. Belgrano. 2010. Body-size distributions and size-spectra: Universal indicators of ecological status? Biology Letters 6:434–437.</w:t>
      </w:r>
    </w:p>
    <w:bookmarkEnd w:id="56"/>
    <w:bookmarkStart w:id="57"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57"/>
    <w:bookmarkStart w:id="58" w:name="ref-sauer2013"/>
    <w:p>
      <w:pPr>
        <w:pStyle w:val="Bibliography"/>
      </w:pPr>
      <w:r>
        <w:t xml:space="preserve">Sauer, J. R., W. A. Link, J. E. Fallon, K. L. Pardieck, and D. J. Ziolkowski. 2013. The North American Breeding Bird Survey 1966–2011: Summary Analysis and Species Accounts. North American Fauna:1–32.</w:t>
      </w:r>
    </w:p>
    <w:bookmarkEnd w:id="58"/>
    <w:bookmarkStart w:id="59" w:name="ref-schmitz2018"/>
    <w:p>
      <w:pPr>
        <w:pStyle w:val="Bibliography"/>
      </w:pPr>
      <w:r>
        <w:t xml:space="preserve">Schmitz, O. J., C. C. Wilmers, S. J. Leroux, C. E. Doughty, T. B. Atwood, M. Galetti, A. B. Davies, and S. J. Goetz. 2018. Animals and the zoogeochemistry of the carbon cycle. Science.</w:t>
      </w:r>
    </w:p>
    <w:bookmarkEnd w:id="59"/>
    <w:bookmarkStart w:id="60" w:name="ref-smith2018"/>
    <w:p>
      <w:pPr>
        <w:pStyle w:val="Bibliography"/>
      </w:pPr>
      <w:r>
        <w:t xml:space="preserve">Smith, F. A., R. E. Elliott Smith, S. K. Lyons, and J. L. Payne. 2018. Body size downgrading of mammals over the late Quaternary. Science 360:310–313.</w:t>
      </w:r>
    </w:p>
    <w:bookmarkEnd w:id="60"/>
    <w:bookmarkStart w:id="61"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61"/>
    <w:bookmarkStart w:id="62" w:name="ref-thibault2011"/>
    <w:p>
      <w:pPr>
        <w:pStyle w:val="Bibliography"/>
      </w:pPr>
      <w:r>
        <w:t xml:space="preserve">Thibault, K. M., E. P. White, A. H. Hurlbert, and S. K. M. Ernest. 2011. Multimodality in the individual size distributions of bird communities. Global Ecology and Biogeography 20:145–153.</w:t>
      </w:r>
    </w:p>
    <w:bookmarkEnd w:id="62"/>
    <w:bookmarkStart w:id="63" w:name="ref-warwick1994"/>
    <w:p>
      <w:pPr>
        <w:pStyle w:val="Bibliography"/>
      </w:pPr>
      <w:r>
        <w:t xml:space="preserve">Warwick, R. M., and K. R. Clarke. 1994. Relearning the ABC: Taxonomic changes and abundance/biomass relationships in disturbed benthic communities. Marine Biology 118:739–744.</w:t>
      </w:r>
    </w:p>
    <w:bookmarkEnd w:id="63"/>
    <w:bookmarkStart w:id="64" w:name="ref-white2007"/>
    <w:p>
      <w:pPr>
        <w:pStyle w:val="Bibliography"/>
      </w:pPr>
      <w:r>
        <w:t xml:space="preserve">White, E. P., S. K. M. Ernest, A. J. Kerkhoff, and B. J. Enquist. 2007. Relationships between body size and abundance in ecology. Trends in Ecology &amp; Evolution 22:323–330.</w:t>
      </w:r>
    </w:p>
    <w:bookmarkEnd w:id="64"/>
    <w:bookmarkStart w:id="65" w:name="ref-white2004"/>
    <w:p>
      <w:pPr>
        <w:pStyle w:val="Bibliography"/>
      </w:pPr>
      <w:r>
        <w:t xml:space="preserve">White, E. P., S. K. M. Ernest, and K. M. Thibault. 2004. Trade‐offs in Community Properties through Time in a Desert Rodent Community. The American Naturalist 164:670–676.</w:t>
      </w:r>
    </w:p>
    <w:bookmarkEnd w:id="65"/>
    <w:bookmarkStart w:id="66" w:name="ref-ye2020"/>
    <w:p>
      <w:pPr>
        <w:pStyle w:val="Bibliography"/>
      </w:pPr>
      <w:r>
        <w:t xml:space="preserve">Ye, H., E. K. Bledsoe, R. Diaz, S. K. M. Ernest, J. L. Simonis, E. P. White, and G. M. Yenni. 2020, May. Macroecological Analyses of Time Series Structure. Zenodo.</w:t>
      </w:r>
    </w:p>
    <w:bookmarkEnd w:id="66"/>
    <w:bookmarkStart w:id="67"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67"/>
    <w:bookmarkStart w:id="68" w:name="ref-young2016"/>
    <w:p>
      <w:pPr>
        <w:pStyle w:val="Bibliography"/>
      </w:pPr>
      <w:r>
        <w:t xml:space="preserve">Young, H. S., D. J. McCauley, M. Galetti, and R. Dirzo. 2016. Patterns, Causes, and Consequences of Anthropocene Defaunation. Annual Review of Ecology, Evolution, and Systematics 47:333–358.</w:t>
      </w:r>
    </w:p>
    <w:bookmarkEnd w:id="68"/>
    <w:bookmarkEnd w:id="69"/>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9" Target="https://github.com/diazrenata/redwing/blob/resim-cleanup/aspirational_structure/methods_vignettes/change_over_time/02_01_change_over_time_sims.md" TargetMode="External" /><Relationship Type="http://schemas.openxmlformats.org/officeDocument/2006/relationships/hyperlink" Id="rId33" Target="https://github.com/diazrenata/redwing/blob/resim-cleanup/aspirational_structure/methods_vignettes/change_over_time/02_02_testing_change.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diazrenata/redwing/blob/resim-cleanup/aspirational_structure/methods_vignettes/change_over_time/02_01_change_over_time_sims.md" TargetMode="External" /><Relationship Type="http://schemas.openxmlformats.org/officeDocument/2006/relationships/hyperlink" Id="rId33" Target="https://github.com/diazrenata/redwing/blob/resim-cleanup/aspirational_structure/methods_vignettes/change_over_time/02_02_testing_chan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2021-11-14T19:24:59Z</dcterms:created>
  <dcterms:modified xsi:type="dcterms:W3CDTF">2021-11-14T19:24:59Z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