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52.png" ContentType="image/png"/>
  <Override PartName="/word/media/rId55.png" ContentType="image/png"/>
  <Override PartName="/word/media/rId56.png" ContentType="image/png"/>
  <Override PartName="/word/media/rId36.png" ContentType="image/png"/>
  <Override PartName="/word/media/rId38.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Heading2"/>
      </w:pPr>
      <w:bookmarkStart w:id="21" w:name="aim"/>
      <w:r>
        <w:t xml:space="preserve">Aim</w:t>
      </w:r>
      <w:bookmarkEnd w:id="21"/>
    </w:p>
    <w:p>
      <w:pPr>
        <w:pStyle w:val="FirstParagraph"/>
      </w:pPr>
      <w:r>
        <w:t xml:space="preserve">Testing the relationship between change in community-level abundance and community function (biomass and energy use), as mediated by change in the individual size distribution.</w:t>
      </w:r>
    </w:p>
    <w:p>
      <w:pPr>
        <w:pStyle w:val="BodyText"/>
      </w:pPr>
      <w:r>
        <w:t xml:space="preserve">This is the first macroecological-scale study of the interrelated dynamics of ISDs, abundance, and function for terrestrial animal communities.</w:t>
      </w:r>
    </w:p>
    <w:p>
      <w:pPr>
        <w:pStyle w:val="Heading2"/>
      </w:pPr>
      <w:bookmarkStart w:id="22" w:name="location"/>
      <w:r>
        <w:t xml:space="preserve">Location</w:t>
      </w:r>
      <w:bookmarkEnd w:id="22"/>
    </w:p>
    <w:p>
      <w:pPr>
        <w:pStyle w:val="FirstParagraph"/>
      </w:pPr>
      <w:r>
        <w:t xml:space="preserve">North America, north of Mexico.</w:t>
      </w:r>
    </w:p>
    <w:p>
      <w:pPr>
        <w:pStyle w:val="Heading2"/>
      </w:pPr>
      <w:bookmarkStart w:id="23" w:name="time-period"/>
      <w:r>
        <w:t xml:space="preserve">Time period</w:t>
      </w:r>
      <w:bookmarkEnd w:id="23"/>
    </w:p>
    <w:p>
      <w:pPr>
        <w:pStyle w:val="FirstParagraph"/>
      </w:pPr>
      <w:r>
        <w:t xml:space="preserve">1988-2018</w:t>
      </w:r>
    </w:p>
    <w:p>
      <w:pPr>
        <w:pStyle w:val="Heading2"/>
      </w:pPr>
      <w:bookmarkStart w:id="24" w:name="major-taxa-studied"/>
      <w:r>
        <w:t xml:space="preserve">Major taxa studied</w:t>
      </w:r>
      <w:bookmarkEnd w:id="24"/>
    </w:p>
    <w:p>
      <w:pPr>
        <w:pStyle w:val="FirstParagraph"/>
      </w:pPr>
      <w:r>
        <w:t xml:space="preserve">Breeding birds</w:t>
      </w:r>
    </w:p>
    <w:p>
      <w:pPr>
        <w:pStyle w:val="Heading2"/>
      </w:pPr>
      <w:bookmarkStart w:id="25" w:name="methods"/>
      <w:r>
        <w:t xml:space="preserve">Methods</w:t>
      </w:r>
      <w:bookmarkEnd w:id="25"/>
    </w:p>
    <w:p>
      <w:pPr>
        <w:pStyle w:val="FirstParagraph"/>
      </w:pPr>
      <w:r>
        <w:t xml:space="preserve">We simulated ISDs for the time periods 1988-1992 and 2014-2018 for 528 routes in the Breeding Bird Survey. We evaluated 1) the extent of change in the ISDs from the beginning to the end time periods; 2) the change in total biomass and total energy use over this time span; 3) the extent to which the observed changes in biomass and energy use reflect changes in numerical</w:t>
      </w:r>
      <w:r>
        <w:t xml:space="preserve"> </w:t>
      </w:r>
      <w:r>
        <w:rPr>
          <w:i/>
        </w:rPr>
        <w:t xml:space="preserve">abundance</w:t>
      </w:r>
      <w:r>
        <w:t xml:space="preserve"> </w:t>
      </w:r>
      <w:r>
        <w:t xml:space="preserve">vs. change in the ISD.</w:t>
      </w:r>
    </w:p>
    <w:p>
      <w:pPr>
        <w:pStyle w:val="Heading2"/>
      </w:pPr>
      <w:bookmarkStart w:id="26" w:name="results"/>
      <w:r>
        <w:t xml:space="preserve">Results</w:t>
      </w:r>
      <w:bookmarkEnd w:id="26"/>
    </w:p>
    <w:p>
      <w:pPr>
        <w:pStyle w:val="FirstParagraph"/>
      </w:pPr>
      <w:r>
        <w:t xml:space="preserve">Nearly all ISDs have changed detectably over time, but in most instances this does not result in a decoupling between biomass/energy use and numerical abundance. However, in a substantial minority of communities - 30% of routes overall for biomass, and 14% overall for energy use - directional shifts in the ISD result in a decoupling. In 80% of instances of decoupling, the deviation is towards an increase in body size/per capita metabolic rate, resulting in a less negative change in function than the change driven by numerical abundance.</w:t>
      </w:r>
    </w:p>
    <w:p>
      <w:pPr>
        <w:pStyle w:val="Heading2"/>
      </w:pPr>
      <w:bookmarkStart w:id="27" w:name="main-conclusions"/>
      <w:r>
        <w:t xml:space="preserve">Main conclusions</w:t>
      </w:r>
      <w:bookmarkEnd w:id="27"/>
    </w:p>
    <w:p>
      <w:pPr>
        <w:pStyle w:val="FirstParagraph"/>
      </w:pPr>
      <w:r>
        <w:t xml:space="preserve">Terrestrial animal ISDs are dynamic; these dynamics have consequences for the scaling of abundance and function; and this study provides tools and motivation for examining these dynamics!</w:t>
      </w:r>
    </w:p>
    <w:p>
      <w:r>
        <w:br w:type="page"/>
      </w:r>
    </w:p>
    <w:p>
      <w:pPr>
        <w:pStyle w:val="Heading1"/>
      </w:pPr>
      <w:bookmarkStart w:id="28" w:name="introductionframing"/>
      <w:r>
        <w:t xml:space="preserve">Introduction/Framing</w:t>
      </w:r>
      <w:bookmarkEnd w:id="28"/>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w:t>
      </w:r>
      <w:r>
        <w:t xml:space="preserve"> </w:t>
      </w:r>
      <w:r>
        <w:rPr>
          <w:b/>
        </w:rPr>
        <w:t xml:space="preserve">community scale</w:t>
      </w:r>
      <w:r>
        <w:t xml:space="preserve">, changes in the relationship between size and abundance tells us about important functional shifts. 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either decouple N from E for terrestrial animals</w:t>
      </w:r>
      <w:r>
        <w:t xml:space="preserve"> </w:t>
      </w:r>
      <w:r>
        <w:t xml:space="preserve">(White et al. 2004, Yen et al. 2017)</w:t>
      </w:r>
      <w:r>
        <w:t xml:space="preserve">, but not always</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 [</w:t>
      </w:r>
      <w:r>
        <w:t xml:space="preserve">White et al. (2007)</w:t>
      </w:r>
      <w:r>
        <w:t xml:space="preserve">; this is a nod to a few studies looking at the size structure</w:t>
      </w:r>
      <w:r>
        <w:t xml:space="preserve"> </w:t>
      </w:r>
      <w:r>
        <w:rPr>
          <w:i/>
        </w:rPr>
        <w:t xml:space="preserve">across britain</w:t>
      </w:r>
      <w:r>
        <w:t xml:space="preserve"> </w:t>
      </w:r>
      <w:r>
        <w:t xml:space="preserve">or something].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how these ISDs behave over time or 2) the extent to which changes in the ISD decouple the community-level dynamics of abundance, biomass, and energy use in these systems.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3) To what extent do changes in the ISD translate into decoupling between abundance and function?</w:t>
      </w:r>
    </w:p>
    <w:p>
      <w:r>
        <w:br w:type="page"/>
      </w:r>
    </w:p>
    <w:p>
      <w:pPr>
        <w:pStyle w:val="Heading1"/>
      </w:pPr>
      <w:bookmarkStart w:id="29" w:name="methods-1"/>
      <w:r>
        <w:t xml:space="preserve">Methods</w:t>
      </w:r>
      <w:bookmarkEnd w:id="29"/>
    </w:p>
    <w:p>
      <w:pPr>
        <w:pStyle w:val="Heading2"/>
      </w:pPr>
      <w:bookmarkStart w:id="30" w:name="bird-abundance-data"/>
      <w:r>
        <w:t xml:space="preserve">Bird abundance data</w:t>
      </w:r>
      <w:bookmarkEnd w:id="30"/>
    </w:p>
    <w:p>
      <w:pPr>
        <w:pStyle w:val="FirstParagraph"/>
      </w:pPr>
      <w:r>
        <w:t xml:space="preserve">We used data from the Breeding Bird Survey</w:t>
      </w:r>
      <w:r>
        <w:t xml:space="preserve"> </w:t>
      </w:r>
      <w:r>
        <w:t xml:space="preserve">(Sauer et al. 2013)</w:t>
      </w:r>
      <w:r>
        <w:t xml:space="preserve"> </w:t>
      </w:r>
      <w:r>
        <w:t xml:space="preserve">to compare community attributes along each route between the 5-year periods from 1988-1992 and 2014-2018. We take the route to be the</w:t>
      </w:r>
      <w:r>
        <w:t xml:space="preserve"> </w:t>
      </w:r>
      <w:r>
        <w:t xml:space="preserve">“</w:t>
      </w:r>
      <w:r>
        <w:t xml:space="preserve">community</w:t>
      </w:r>
      <w:r>
        <w:t xml:space="preserve">”</w:t>
      </w:r>
      <w:r>
        <w:t xml:space="preserve"> </w:t>
      </w:r>
      <w:r>
        <w:t xml:space="preserve">scale [</w:t>
      </w:r>
      <w:r>
        <w:t xml:space="preserve">Thibault et al. (2011)</w:t>
      </w:r>
      <w:r>
        <w:t xml:space="preserve">; others]. BBS (BBS methods background). We filtered the data to remove taxa that are poorly sampled through these methods, following (literally everyone).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BodyText"/>
      </w:pPr>
      <w:r>
        <w:t xml:space="preserve">We used a discrete time-period comparison (as opposed to continuous-time over the full timeseries) to simplify comparisons between temporal turnover in the size structure - which are complex, multidimensional distributions - and changes in community-wide total abundance, biomass, and energy use. 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(Cusser et al. 2020, Bahlai et al. 2021)</w:t>
      </w:r>
      <w:r>
        <w:t xml:space="preserve">. Developing continuous-time methods for analyzing community distributions such as multimodal size spectra is an important and ongoing area of methodological development (e.g. </w:t>
      </w:r>
      <w:r>
        <w:t xml:space="preserve">Yen et al. (2017)</w:t>
      </w:r>
      <w:r>
        <w:t xml:space="preserve">).</w:t>
      </w:r>
    </w:p>
    <w:p>
      <w:pPr>
        <w:pStyle w:val="BodyText"/>
      </w:pPr>
      <w:r>
        <w:t xml:space="preserve">We used 5-year periods to account for sampling accumulation effects in characterizing the bird community in each time period</w:t>
      </w:r>
      <w:r>
        <w:t xml:space="preserve"> </w:t>
      </w:r>
      <w:r>
        <w:t xml:space="preserve">(White 2004)</w:t>
      </w:r>
      <w:r>
        <w:t xml:space="preserve">. We used the same begin and end dates for all routes in the analysis so as to have a consistent window. 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1970 to 1990 and end dates ranging from 2000 to 2018,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 This yielded 528 routes.</w:t>
      </w:r>
    </w:p>
    <w:p>
      <w:pPr>
        <w:pStyle w:val="Heading2"/>
      </w:pPr>
      <w:bookmarkStart w:id="31" w:name="estimated-size-data"/>
      <w:r>
        <w:t xml:space="preserve">Estimated size data</w:t>
      </w:r>
      <w:bookmarkEnd w:id="31"/>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 For species for which there was not a standard deviation recorded in</w:t>
      </w:r>
      <w:r>
        <w:t xml:space="preserve"> </w:t>
      </w:r>
      <w:r>
        <w:t xml:space="preserve">(</w:t>
      </w:r>
      <w:r>
        <w:rPr>
          <w:b/>
        </w:rPr>
        <w:t xml:space="preserve">???</w:t>
      </w:r>
      <w:r>
        <w:t xml:space="preserve">)</w:t>
      </w:r>
      <w:r>
        <w:t xml:space="preserve"> </w:t>
      </w:r>
      <w:r>
        <w:t xml:space="preserve">(185 species affected, of 421 total), we estimated the standard deviation based on an allometric scaling relationship between mean and standard deviation in body mass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w:t>
      </w:r>
      <w:r>
        <w:rPr>
          <w:b/>
        </w:rPr>
        <w:t xml:space="preserve">???</w:t>
      </w:r>
      <w:r>
        <w:t xml:space="preserve">,</w:t>
      </w:r>
      <w:r>
        <w:t xml:space="preserve"> </w:t>
      </w:r>
      <w:r>
        <w:rPr>
          <w:b/>
        </w:rPr>
        <w:t xml:space="preserve">???</w:t>
      </w:r>
      <w:r>
        <w:t xml:space="preserve">, Fristoe 2015)</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32" w:name="comparing-isds-over-time"/>
      <w:r>
        <w:t xml:space="preserve">Comparing ISDs over time</w:t>
      </w:r>
      <w:bookmarkEnd w:id="32"/>
    </w:p>
    <w:p>
      <w:pPr>
        <w:pStyle w:val="FirstParagraph"/>
      </w:pPr>
      <w:r>
        <w:t xml:space="preserve">For each route, we used two approaches to test whether the ISD for 1988-1992 is significantly different from the one for 2014-2018. First, we used a Kolmogorov-Smirnov test on the vector of masses for the beginning and end time periods. Second, we performed bootstrap resampling to test whether the observed degree of dissimilarity between the two time periods exceeded that which would be expected if the probability of an individual being a particular size did not depend on which time period it was observed in (I believe following</w:t>
      </w:r>
      <w:r>
        <w:t xml:space="preserve"> </w:t>
      </w:r>
      <w:r>
        <w:t xml:space="preserve">Ernest (2005)</w:t>
      </w:r>
      <w:r>
        <w:t xml:space="preserve">). From the pool of all individuals observed in both timeperiods, we re-assigned individuals to each time period at random and without replacement, and computed the Kolmogorov-Smirnov test statistic</w:t>
      </w:r>
      <w:r>
        <w:t xml:space="preserve"> </w:t>
      </w:r>
      <m:oMath>
        <m:r>
          <m:t>D</m:t>
        </m:r>
      </m:oMath>
      <w:r>
        <w:t xml:space="preserve"> </w:t>
      </w:r>
      <w:r>
        <w:t xml:space="preserve">comparing the resulting vectors of masses for each time period. We repeated this 500 times, and calculated the percentile score and standardized effect size (SES) of Kolmogorov-Smirnov</w:t>
      </w:r>
      <w:r>
        <w:t xml:space="preserve"> </w:t>
      </w:r>
      <m:oMath>
        <m:r>
          <m:t>D</m:t>
        </m:r>
      </m:oMath>
      <w:r>
        <w:t xml:space="preserve"> </w:t>
      </w:r>
      <w:r>
        <w:t xml:space="preserve">for the</w:t>
      </w:r>
      <w:r>
        <w:t xml:space="preserve"> </w:t>
      </w:r>
      <w:r>
        <w:rPr>
          <w:i/>
        </w:rPr>
        <w:t xml:space="preserve">observed</w:t>
      </w:r>
      <w:r>
        <w:t xml:space="preserve"> </w:t>
      </w:r>
      <w:r>
        <w:t xml:space="preserve">ISDs compared to the distribution of</w:t>
      </w:r>
      <w:r>
        <w:t xml:space="preserve"> </w:t>
      </w:r>
      <m:oMath>
        <m:r>
          <m:t>D</m:t>
        </m:r>
      </m:oMath>
      <w:r>
        <w:t xml:space="preserve">s from the bootstrap samples. Percentile scores &gt; 95 and SES &gt; 2 correspond to an observed pair of ISDs significantly more dissimilar than the bootstrap samples.</w:t>
      </w:r>
    </w:p>
    <w:p>
      <w:pPr>
        <w:pStyle w:val="BodyText"/>
      </w:pPr>
      <w:r>
        <w:t xml:space="preserve">For an intuitive measure of the</w:t>
      </w:r>
      <w:r>
        <w:t xml:space="preserve"> </w:t>
      </w:r>
      <w:r>
        <w:rPr>
          <w:i/>
        </w:rPr>
        <w:t xml:space="preserve">magnitude</w:t>
      </w:r>
      <w:r>
        <w:t xml:space="preserve"> </w:t>
      </w:r>
      <w:r>
        <w:t xml:space="preserve">of change in the ISD over time, we compute an overlap measure (see</w:t>
      </w:r>
      <w:r>
        <w:t xml:space="preserve"> </w:t>
      </w:r>
      <w:r>
        <w:t xml:space="preserve">Read et al. (2018)</w:t>
      </w:r>
      <w:r>
        <w:t xml:space="preserve"> </w:t>
      </w:r>
      <w:r>
        <w:t xml:space="preserve">for this measure applied to species-level body size distributions). We characterize the ISD as a smooth function by fitting a Gaussian mixture model (to logarithm of mass, up to 15 Gaussians, select best using BIC, all following</w:t>
      </w:r>
      <w:r>
        <w:t xml:space="preserve"> </w:t>
      </w:r>
      <w:r>
        <w:t xml:space="preserve">Thibault et al. (2011)</w:t>
      </w:r>
      <w:r>
        <w:t xml:space="preserve">). We evaluate the density function of the GMM at points for a size range from 0-exp(15), which covers the range of sizes in this dataset with ample padding on each side. We rescale the density function so the total area under the ISD is 1. We calculate the overlap between two ISDs as the sum of the minimum density at each evaluation point. This ranges from 0 (no overlap) to 1 (complete overlap)</w:t>
      </w:r>
      <w:r>
        <w:t xml:space="preserve"> </w:t>
      </w:r>
      <w:r>
        <w:t xml:space="preserve">(Read et al. 2018)</w:t>
      </w:r>
      <w:r>
        <w:t xml:space="preserve">.</w:t>
      </w:r>
    </w:p>
    <w:p>
      <w:pPr>
        <w:pStyle w:val="BodyText"/>
      </w:pPr>
      <w:r>
        <w:drawing>
          <wp:inline>
            <wp:extent cx="5943600" cy="2971800"/>
            <wp:effectExtent b="0" l="0" r="0" t="0"/>
            <wp:docPr descr="" title="" id="1" name="Picture"/>
            <a:graphic>
              <a:graphicData uri="http://schemas.openxmlformats.org/drawingml/2006/picture">
                <pic:pic>
                  <pic:nvPicPr>
                    <pic:cNvPr descr="rough_outline_files/figure-docx/unnamed-chunk-1-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Here is an example of a real set of</w:t>
      </w:r>
      <w:r>
        <w:t xml:space="preserve"> </w:t>
      </w:r>
      <w:r>
        <w:t xml:space="preserve">“</w:t>
      </w:r>
      <w:r>
        <w:t xml:space="preserve">begin</w:t>
      </w:r>
      <w:r>
        <w:t xml:space="preserve">”</w:t>
      </w:r>
      <w:r>
        <w:t xml:space="preserve"> </w:t>
      </w:r>
      <w:r>
        <w:t xml:space="preserve">(red) and</w:t>
      </w:r>
      <w:r>
        <w:t xml:space="preserve"> </w:t>
      </w:r>
      <w:r>
        <w:t xml:space="preserve">“</w:t>
      </w:r>
      <w:r>
        <w:t xml:space="preserve">end</w:t>
      </w:r>
      <w:r>
        <w:t xml:space="preserve">”</w:t>
      </w:r>
      <w:r>
        <w:t xml:space="preserve"> </w:t>
      </w:r>
      <w:r>
        <w:t xml:space="preserve">(blue) ISDs, and the results of a single bootstrap shuffle. For this site (ZIMOVIA STRT, ALASKA), the KS test p value is 0. The observed test statistic has a percentile of 1 and SES of 11.58 compared to 500 bootstraps. The observed ISDs have an overlap of 0.81.</w:t>
      </w:r>
    </w:p>
    <w:p>
      <w:pPr>
        <w:pStyle w:val="Heading2"/>
      </w:pPr>
      <w:bookmarkStart w:id="34" w:name="X2808d49d7c2fa93fdb0185a5599de43f96f2cbc"/>
      <w:r>
        <w:t xml:space="preserve">Decoupling of dynamics in total abundance, biomass, and energy use over time</w:t>
      </w:r>
      <w:bookmarkEnd w:id="34"/>
    </w:p>
    <w:p>
      <w:pPr>
        <w:pStyle w:val="Heading3"/>
      </w:pPr>
      <w:bookmarkStart w:id="35" w:name="sims"/>
      <w:r>
        <w:t xml:space="preserve">Sims</w:t>
      </w:r>
      <w:bookmarkEnd w:id="35"/>
    </w:p>
    <w:p>
      <w:pPr>
        <w:pStyle w:val="FirstParagraph"/>
      </w:pPr>
      <w:r>
        <w:t xml:space="preserve">To test whether change in biomass or energy use deviates from the change in abundance, we can’t just compare the slopes for total energy, total biomass, and total abundance to each other. This is because the three different currencies are on radically different scales of measurement. We also can’t rescale using the usual methods (e.g. scale to mean 0/sd 1, sqrt transform</w:t>
      </w:r>
      <w:r>
        <w:t xml:space="preserve"> </w:t>
      </w:r>
      <w:r>
        <w:t xml:space="preserve">Dornelas et al. (2014)</w:t>
      </w:r>
      <w:r>
        <w:t xml:space="preserve">;</w:t>
      </w:r>
      <w:r>
        <w:t xml:space="preserve"> </w:t>
      </w:r>
      <w:r>
        <w:t xml:space="preserve">Gotelli et al. (2017)</w:t>
      </w:r>
      <w:r>
        <w:t xml:space="preserve">) because these destroy information about the range of variability within a single currency. Instead, we test whether the observed change in biomass or energy use differs from the change that we would expect given observed changes in community-wide abundance, but with</w:t>
      </w:r>
      <w:r>
        <w:t xml:space="preserve"> </w:t>
      </w:r>
      <w:r>
        <w:rPr>
          <w:i/>
        </w:rPr>
        <w:t xml:space="preserve">no change</w:t>
      </w:r>
      <w:r>
        <w:t xml:space="preserve"> </w:t>
      </w:r>
      <w:r>
        <w:t xml:space="preserve">in the ISD from beginning to end.</w:t>
      </w:r>
    </w:p>
    <w:p>
      <w:pPr>
        <w:pStyle w:val="BodyText"/>
      </w:pPr>
      <w:r>
        <w:t xml:space="preserve">We simulate change in total energy and total biomass under</w:t>
      </w:r>
      <w:r>
        <w:t xml:space="preserve"> </w:t>
      </w:r>
      <w:r>
        <w:t xml:space="preserve">“</w:t>
      </w:r>
      <w:r>
        <w:t xml:space="preserve">no change in ISD</w:t>
      </w:r>
      <w:r>
        <w:t xml:space="preserve">”</w:t>
      </w:r>
      <w:r>
        <w:t xml:space="preserve"> </w:t>
      </w:r>
      <w:r>
        <w:t xml:space="preserve">and</w:t>
      </w:r>
      <w:r>
        <w:t xml:space="preserve"> </w:t>
      </w:r>
      <w:r>
        <w:t xml:space="preserve">“</w:t>
      </w:r>
      <w:r>
        <w:t xml:space="preserve">observed change in ISD</w:t>
      </w:r>
      <w:r>
        <w:t xml:space="preserve">”</w:t>
      </w:r>
      <w:r>
        <w:t xml:space="preserve"> </w:t>
      </w:r>
      <w:r>
        <w:t xml:space="preserve">scenarios. We use the GMM smooth procedure described above to characterize a</w:t>
      </w:r>
      <w:r>
        <w:t xml:space="preserve"> </w:t>
      </w:r>
      <w:r>
        <w:t xml:space="preserve">“</w:t>
      </w:r>
      <w:r>
        <w:t xml:space="preserve">sampling GMM</w:t>
      </w:r>
      <w:r>
        <w:t xml:space="preserve">”</w:t>
      </w:r>
      <w:r>
        <w:t xml:space="preserve"> </w:t>
      </w:r>
      <w:r>
        <w:t xml:space="preserve">for each time period. The</w:t>
      </w:r>
      <w:r>
        <w:t xml:space="preserve"> </w:t>
      </w:r>
      <w:r>
        <w:t xml:space="preserve">“</w:t>
      </w:r>
      <w:r>
        <w:t xml:space="preserve">sampling GMM</w:t>
      </w:r>
      <w:r>
        <w:t xml:space="preserve">”</w:t>
      </w:r>
      <w:r>
        <w:t xml:space="preserve"> </w:t>
      </w:r>
      <w:r>
        <w:t xml:space="preserve">is a probability density function with the probability of observing an individual of a given mass across the spectrum of possible masses. Sampling</w:t>
      </w:r>
      <w:r>
        <w:t xml:space="preserve"> </w:t>
      </w:r>
      <w:r>
        <w:rPr>
          <w:rStyle w:val="VerbatimChar"/>
        </w:rPr>
        <w:t xml:space="preserve">$mass</w:t>
      </w:r>
      <w:r>
        <w:t xml:space="preserve"> </w:t>
      </w:r>
      <w:r>
        <w:t xml:space="preserve">with probability</w:t>
      </w:r>
      <w:r>
        <w:t xml:space="preserve"> </w:t>
      </w:r>
      <w:r>
        <w:rPr>
          <w:rStyle w:val="VerbatimChar"/>
        </w:rPr>
        <w:t xml:space="preserve">$density</w:t>
      </w:r>
      <w:r>
        <w:t xml:space="preserve"> </w:t>
      </w:r>
      <w:r>
        <w:t xml:space="preserve">is a random number generator for sizes. We then</w:t>
      </w:r>
      <w:r>
        <w:t xml:space="preserve"> </w:t>
      </w:r>
      <w:r>
        <w:rPr>
          <w:i/>
        </w:rPr>
        <w:t xml:space="preserve">re draw</w:t>
      </w:r>
      <w:r>
        <w:t xml:space="preserve"> </w:t>
      </w:r>
      <w:r>
        <w:t xml:space="preserve">individuals for each year under different scenarios. First, we draw individuals for each year using the actual ISD for that time period (so the</w:t>
      </w:r>
      <w:r>
        <w:t xml:space="preserve"> </w:t>
      </w:r>
      <w:r>
        <w:t xml:space="preserve">“</w:t>
      </w:r>
      <w:r>
        <w:t xml:space="preserve">begin</w:t>
      </w:r>
      <w:r>
        <w:t xml:space="preserve">”</w:t>
      </w:r>
      <w:r>
        <w:t xml:space="preserve"> </w:t>
      </w:r>
      <w:r>
        <w:t xml:space="preserve">ISD for 1988-1992 and the</w:t>
      </w:r>
      <w:r>
        <w:t xml:space="preserve"> </w:t>
      </w:r>
      <w:r>
        <w:t xml:space="preserve">“</w:t>
      </w:r>
      <w:r>
        <w:t xml:space="preserve">end</w:t>
      </w:r>
      <w:r>
        <w:t xml:space="preserve">”</w:t>
      </w:r>
      <w:r>
        <w:t xml:space="preserve"> </w:t>
      </w:r>
      <w:r>
        <w:t xml:space="preserve">ISD for 2014-2018). Second, we draw individuals for each year, but using the</w:t>
      </w:r>
      <w:r>
        <w:t xml:space="preserve"> </w:t>
      </w:r>
      <w:r>
        <w:t xml:space="preserve">“</w:t>
      </w:r>
      <w:r>
        <w:t xml:space="preserve">begin</w:t>
      </w:r>
      <w:r>
        <w:t xml:space="preserve">”</w:t>
      </w:r>
      <w:r>
        <w:t xml:space="preserve"> </w:t>
      </w:r>
      <w:r>
        <w:t xml:space="preserve">ISD for all years, to estimate community properties if the ISD had not changed from beginning to end. We compute the total energy use and total biomass for each year under each scenario.</w:t>
      </w:r>
    </w:p>
    <w:p>
      <w:pPr>
        <w:pStyle w:val="BodyText"/>
      </w:pPr>
      <w:r>
        <w:t xml:space="preserve">Note that we pool individuals within a time period to create the ISD, to smooth out species accumulation, but we draw individuals and compute total energy and biomass year-by-year, instead of pooling individuals over the whole time period, to capture interannual, intratimeperiod variation in total abundance (which propagates to total energy use and total biomass).</w:t>
      </w:r>
    </w:p>
    <w:p>
      <w:pPr>
        <w:pStyle w:val="BodyText"/>
      </w:pPr>
      <w:r>
        <w:drawing>
          <wp:inline>
            <wp:extent cx="5943600" cy="2971800"/>
            <wp:effectExtent b="0" l="0" r="0" t="0"/>
            <wp:docPr descr="" title="" id="1" name="Picture"/>
            <a:graphic>
              <a:graphicData uri="http://schemas.openxmlformats.org/drawingml/2006/picture">
                <pic:pic>
                  <pic:nvPicPr>
                    <pic:cNvPr descr="rough_outline_files/figure-docx/unnamed-chunk-3-1.png" id="0"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Here, the</w:t>
      </w:r>
      <w:r>
        <w:t xml:space="preserve"> </w:t>
      </w:r>
      <w:r>
        <w:t xml:space="preserve">“</w:t>
      </w:r>
      <w:r>
        <w:t xml:space="preserve">abundance</w:t>
      </w:r>
      <w:r>
        <w:t xml:space="preserve">”</w:t>
      </w:r>
      <w:r>
        <w:t xml:space="preserve"> </w:t>
      </w:r>
      <w:r>
        <w:t xml:space="preserve">line (red) reflects change in total biomass expected due only to changes in abundance. The</w:t>
      </w:r>
      <w:r>
        <w:t xml:space="preserve"> </w:t>
      </w:r>
      <w:r>
        <w:t xml:space="preserve">“</w:t>
      </w:r>
      <w:r>
        <w:t xml:space="preserve">currency</w:t>
      </w:r>
      <w:r>
        <w:t xml:space="preserve">”</w:t>
      </w:r>
      <w:r>
        <w:t xml:space="preserve"> </w:t>
      </w:r>
      <w:r>
        <w:t xml:space="preserve">line reflects change in total biomass due to change in abundance</w:t>
      </w:r>
      <w:r>
        <w:t xml:space="preserve"> </w:t>
      </w:r>
      <w:r>
        <w:rPr>
          <w:i/>
        </w:rPr>
        <w:t xml:space="preserve">and</w:t>
      </w:r>
      <w:r>
        <w:t xml:space="preserve"> </w:t>
      </w:r>
      <w:r>
        <w:t xml:space="preserve">observed change in the size structure. Deviations in slope between the red and blue lines reflect change driven by the ISD. Note that the lines here are crude linear model smooths and not really suitable for inference, just visualization.</w:t>
      </w:r>
    </w:p>
    <w:p>
      <w:pPr>
        <w:pStyle w:val="Heading3"/>
      </w:pPr>
      <w:bookmarkStart w:id="37" w:name="testing-change"/>
      <w:r>
        <w:t xml:space="preserve">Testing change</w:t>
      </w:r>
      <w:bookmarkEnd w:id="37"/>
    </w:p>
    <w:p>
      <w:pPr>
        <w:pStyle w:val="FirstParagraph"/>
      </w:pPr>
      <w:r>
        <w:t xml:space="preserve">We use Bayesian linear models to test whether change in the ISD decouples the dynamics of total biomass/total energy use from that which would be expected due to change in abundance.</w:t>
      </w:r>
    </w:p>
    <w:p>
      <w:pPr>
        <w:pStyle w:val="BodyText"/>
      </w:pPr>
      <w:r>
        <w:t xml:space="preserve">We evaluate change at the route level, because we care most about the decoupling of slopes for</w:t>
      </w:r>
      <w:r>
        <w:t xml:space="preserve"> </w:t>
      </w:r>
      <w:r>
        <w:t xml:space="preserve">“</w:t>
      </w:r>
      <w:r>
        <w:t xml:space="preserve">currency</w:t>
      </w:r>
      <w:r>
        <w:t xml:space="preserve">”</w:t>
      </w:r>
      <w:r>
        <w:t xml:space="preserve"> </w:t>
      </w:r>
      <w:r>
        <w:t xml:space="preserve">and</w:t>
      </w:r>
      <w:r>
        <w:t xml:space="preserve"> </w:t>
      </w:r>
      <w:r>
        <w:t xml:space="preserve">“</w:t>
      </w:r>
      <w:r>
        <w:t xml:space="preserve">abundance</w:t>
      </w:r>
      <w:r>
        <w:t xml:space="preserve">”</w:t>
      </w:r>
      <w:r>
        <w:t xml:space="preserve"> </w:t>
      </w:r>
      <w:r>
        <w:t xml:space="preserve">at the route level.</w:t>
      </w:r>
      <w:r>
        <w:t xml:space="preserve"> </w:t>
      </w:r>
    </w:p>
    <w:p>
      <w:pPr>
        <w:pStyle w:val="BodyText"/>
      </w:pPr>
      <w:r>
        <w:t xml:space="preserve">For each currency for each route, we fit 3 models:</w:t>
      </w:r>
    </w:p>
    <w:p>
      <w:pPr>
        <w:pStyle w:val="Compact"/>
        <w:numPr>
          <w:numId w:val="1001"/>
          <w:ilvl w:val="0"/>
        </w:numPr>
      </w:pPr>
      <w:r>
        <w:rPr>
          <w:rStyle w:val="VerbatimChar"/>
        </w:rPr>
        <w:t xml:space="preserve">total_biomass ~ timeperiod * scenario</w:t>
      </w:r>
      <w:r>
        <w:t xml:space="preserve">: I call this one</w:t>
      </w:r>
      <w:r>
        <w:t xml:space="preserve"> </w:t>
      </w:r>
      <w:r>
        <w:t xml:space="preserve">“</w:t>
      </w:r>
      <w:r>
        <w:t xml:space="preserve">full</w:t>
      </w:r>
      <w:r>
        <w:t xml:space="preserve">”</w:t>
      </w:r>
      <w:r>
        <w:t xml:space="preserve">; this model has a slope for abundance, and an offset resulting in a</w:t>
      </w:r>
      <w:r>
        <w:t xml:space="preserve"> </w:t>
      </w:r>
      <w:r>
        <w:rPr>
          <w:i/>
        </w:rPr>
        <w:t xml:space="preserve">different</w:t>
      </w:r>
      <w:r>
        <w:t xml:space="preserve"> </w:t>
      </w:r>
      <w:r>
        <w:t xml:space="preserve">slope for currency</w:t>
      </w:r>
    </w:p>
    <w:p>
      <w:pPr>
        <w:pStyle w:val="Compact"/>
        <w:numPr>
          <w:numId w:val="1001"/>
          <w:ilvl w:val="0"/>
        </w:numPr>
      </w:pPr>
      <w:r>
        <w:rPr>
          <w:rStyle w:val="VerbatimChar"/>
        </w:rPr>
        <w:t xml:space="preserve">total_biomass ~ timeperiod</w:t>
      </w:r>
      <w:r>
        <w:t xml:space="preserve">: I call this one</w:t>
      </w:r>
      <w:r>
        <w:t xml:space="preserve"> </w:t>
      </w:r>
      <w:r>
        <w:t xml:space="preserve">“</w:t>
      </w:r>
      <w:r>
        <w:t xml:space="preserve">nosource</w:t>
      </w:r>
      <w:r>
        <w:t xml:space="preserve">”</w:t>
      </w:r>
      <w:r>
        <w:t xml:space="preserve">; this one has a slope for abundance but not a different slope for currency</w:t>
      </w:r>
    </w:p>
    <w:p>
      <w:pPr>
        <w:pStyle w:val="Compact"/>
        <w:numPr>
          <w:numId w:val="1001"/>
          <w:ilvl w:val="0"/>
        </w:numPr>
      </w:pPr>
      <w:r>
        <w:rPr>
          <w:rStyle w:val="VerbatimChar"/>
        </w:rPr>
        <w:t xml:space="preserve">total_biomass ~ 1</w:t>
      </w:r>
      <w:r>
        <w:t xml:space="preserve">: Intercept-only model, no change over time.</w:t>
      </w:r>
      <w:r>
        <w:t xml:space="preserve"> </w:t>
      </w:r>
    </w:p>
    <w:p>
      <w:pPr>
        <w:pStyle w:val="FirstParagraph"/>
      </w:pPr>
      <w:r>
        <w:t xml:space="preserve">We fit as Gaussians with default priors, run for 8000 iterations.</w:t>
      </w:r>
      <w:r>
        <w:t xml:space="preserve"> </w:t>
      </w:r>
      <w:r>
        <w:t xml:space="preserve"> </w:t>
      </w:r>
      <w:r>
        <w:t xml:space="preserve">We used LOO-crossvalidation (as implemented in</w:t>
      </w:r>
      <w:r>
        <w:t xml:space="preserve"> </w:t>
      </w:r>
      <w:r>
        <w:rPr>
          <w:rStyle w:val="VerbatimChar"/>
        </w:rPr>
        <w:t xml:space="preserve">rstanarm::loo</w:t>
      </w:r>
      <w:r>
        <w:t xml:space="preserve">) to select the best-fitting model as the simplest model with an ELPD within 1 SE of the best-fitting model, using</w:t>
      </w:r>
      <w:r>
        <w:t xml:space="preserve"> </w:t>
      </w:r>
      <w:r>
        <w:rPr>
          <w:rStyle w:val="VerbatimChar"/>
        </w:rPr>
        <w:t xml:space="preserve">reloo</w:t>
      </w:r>
      <w:r>
        <w:t xml:space="preserve"> </w:t>
      </w:r>
      <w:r>
        <w:t xml:space="preserve">to correct for outliers.</w:t>
      </w:r>
    </w:p>
    <w:p>
      <w:pPr>
        <w:pStyle w:val="BodyText"/>
      </w:pPr>
      <w:r>
        <w:t xml:space="preserve">If the best-fitting model does not include the scenario term (i.e. </w:t>
      </w:r>
      <w:r>
        <w:t xml:space="preserve">“</w:t>
      </w:r>
      <w:r>
        <w:t xml:space="preserve">currency</w:t>
      </w:r>
      <w:r>
        <w:t xml:space="preserve">”</w:t>
      </w:r>
      <w:r>
        <w:t xml:space="preserve"> </w:t>
      </w:r>
      <w:r>
        <w:t xml:space="preserve">separate from</w:t>
      </w:r>
      <w:r>
        <w:t xml:space="preserve"> </w:t>
      </w:r>
      <w:r>
        <w:t xml:space="preserve">“</w:t>
      </w:r>
      <w:r>
        <w:t xml:space="preserve">abundance</w:t>
      </w:r>
      <w:r>
        <w:t xml:space="preserve">”</w:t>
      </w:r>
      <w:r>
        <w:t xml:space="preserve">), it means that the change in the ISD does not ~significantly decouple the dynamics of total energy/biomass from that which is driven by changes in abundance. If there is no</w:t>
      </w:r>
      <w:r>
        <w:t xml:space="preserve"> </w:t>
      </w:r>
      <w:r>
        <w:rPr>
          <w:b/>
        </w:rPr>
        <w:t xml:space="preserve">timeperiod</w:t>
      </w:r>
      <w:r>
        <w:t xml:space="preserve"> </w:t>
      </w:r>
      <w:r>
        <w:t xml:space="preserve">term, it means that there’s not a ~significant change begin-end.</w:t>
      </w:r>
    </w:p>
    <w:p>
      <w:pPr>
        <w:pStyle w:val="BodyText"/>
      </w:pPr>
      <w:r>
        <w:t xml:space="preserve">We fit these models for</w:t>
      </w:r>
      <w:r>
        <w:t xml:space="preserve"> </w:t>
      </w:r>
      <w:r>
        <w:rPr>
          <w:rStyle w:val="VerbatimChar"/>
        </w:rPr>
        <w:t xml:space="preserve">total_biomass</w:t>
      </w:r>
      <w:r>
        <w:t xml:space="preserve"> </w:t>
      </w:r>
      <w:r>
        <w:t xml:space="preserve">and</w:t>
      </w:r>
      <w:r>
        <w:t xml:space="preserve"> </w:t>
      </w:r>
      <w:r>
        <w:rPr>
          <w:rStyle w:val="VerbatimChar"/>
        </w:rPr>
        <w:t xml:space="preserve">total_energy</w:t>
      </w:r>
      <w:r>
        <w:t xml:space="preserve"> </w:t>
      </w:r>
      <w:r>
        <w:t xml:space="preserve">for all routes. For each currency, we tallied: 1. How often the best model includes the</w:t>
      </w:r>
      <w:r>
        <w:t xml:space="preserve"> </w:t>
      </w:r>
      <w:r>
        <w:t xml:space="preserve">“</w:t>
      </w:r>
      <w:r>
        <w:t xml:space="preserve">source</w:t>
      </w:r>
      <w:r>
        <w:t xml:space="preserve">”</w:t>
      </w:r>
      <w:r>
        <w:t xml:space="preserve"> </w:t>
      </w:r>
      <w:r>
        <w:t xml:space="preserve">term (meaning there’s a decoupling); 2. how often there’s a timeperiod but no source term (meaning there’s change over time, but that biomass/energy use do not diverge from abundance); 3. how often there’s no timeperiod term (meaning no ~significant change begin to end).</w:t>
      </w:r>
    </w:p>
    <w:p>
      <w:pPr>
        <w:pStyle w:val="BodyText"/>
      </w:pPr>
      <w:r>
        <w:t xml:space="preserve">For the example site we’ve been working with, here are the winning models. Both biomass and energy select the</w:t>
      </w:r>
      <w:r>
        <w:t xml:space="preserve"> </w:t>
      </w:r>
      <w:r>
        <w:t xml:space="preserve">“</w:t>
      </w:r>
      <w:r>
        <w:t xml:space="preserve">full</w:t>
      </w:r>
      <w:r>
        <w:t xml:space="preserve">”</w:t>
      </w:r>
      <w:r>
        <w:t xml:space="preserve"> </w:t>
      </w:r>
      <w:r>
        <w:t xml:space="preserve">model, meaning there’s a decoupling between the size-based currencies and just abundance.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simtype</w:t>
            </w:r>
          </w:p>
        </w:tc>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model</w:t>
            </w:r>
          </w:p>
        </w:tc>
      </w:tr>
      <w:tr>
        <w:tc>
          <w:p>
            <w:pPr>
              <w:pStyle w:val="Compact"/>
              <w:jc w:val="left"/>
            </w:pPr>
            <w:r>
              <w:t xml:space="preserve">actual</w:t>
            </w:r>
          </w:p>
        </w:tc>
        <w:tc>
          <w:p>
            <w:pPr>
              <w:pStyle w:val="Compact"/>
              <w:jc w:val="left"/>
            </w:pPr>
            <w:r>
              <w:t xml:space="preserve">biomass</w:t>
            </w:r>
          </w:p>
        </w:tc>
        <w:tc>
          <w:p>
            <w:pPr>
              <w:pStyle w:val="Compact"/>
              <w:jc w:val="left"/>
            </w:pPr>
            <w:r>
              <w:t xml:space="preserve">tb_stanlm_full</w:t>
            </w:r>
          </w:p>
        </w:tc>
      </w:tr>
      <w:tr>
        <w:tc>
          <w:p>
            <w:pPr>
              <w:pStyle w:val="Compact"/>
              <w:jc w:val="left"/>
            </w:pPr>
            <w:r>
              <w:t xml:space="preserve">actual</w:t>
            </w:r>
          </w:p>
        </w:tc>
        <w:tc>
          <w:p>
            <w:pPr>
              <w:pStyle w:val="Compact"/>
              <w:jc w:val="left"/>
            </w:pPr>
            <w:r>
              <w:t xml:space="preserve">energy</w:t>
            </w:r>
          </w:p>
        </w:tc>
        <w:tc>
          <w:p>
            <w:pPr>
              <w:pStyle w:val="Compact"/>
              <w:jc w:val="left"/>
            </w:pPr>
            <w:r>
              <w:t xml:space="preserve">te_stanlm_full</w:t>
            </w:r>
          </w:p>
        </w:tc>
      </w:tr>
    </w:tbl>
    <w:p>
      <w:pPr>
        <w:pStyle w:val="BodyText"/>
      </w:pPr>
      <w:r>
        <w:t xml:space="preserve">For models with slope and/or offset terms, we extracted estimates for the slope for abundance, and the offset for currency, to examine the magnitude and direction of change and decoupling. We tallied how often the abundance slope was positive or negative (how often the 95% CI for the timeperiod term is &gt;/&lt; 0) and how often the offset for currency is positive or negative (how often the 95% CI for the timeperiod:source term is &gt;/&lt; 0). Positive offsets mean that the change in biomass/energy use is less negative than change in abundance; negative offsets mean that the currency is more negative.</w:t>
      </w:r>
    </w:p>
    <w:p>
      <w:pPr>
        <w:pStyle w:val="BodyText"/>
      </w:pPr>
      <w:r>
        <w:t xml:space="preserve">For the example route we’ve been working through, here are the parameter estimates for the slope and offset (means and 95% CIs). For both energy and biomass, the abundance-driven trajectory is an increase, although biomass gets closer to over 0. For both, the currency-driven offset is also an increase, meaning that the change in the ISD caused biomass to increase more than we expect it to just because of the increase in abundance.</w:t>
      </w:r>
    </w:p>
    <w:p>
      <w:pPr>
        <w:pStyle w:val="BodyText"/>
      </w:pPr>
      <w:r>
        <w:drawing>
          <wp:inline>
            <wp:extent cx="5943600" cy="2971800"/>
            <wp:effectExtent b="0" l="0" r="0" t="0"/>
            <wp:docPr descr="" title="" id="1" name="Picture"/>
            <a:graphic>
              <a:graphicData uri="http://schemas.openxmlformats.org/drawingml/2006/picture">
                <pic:pic>
                  <pic:nvPicPr>
                    <pic:cNvPr descr="rough_outline_files/figure-docx/unnamed-chunk-5-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2"/>
      </w:pPr>
      <w:bookmarkStart w:id="39" w:name="relating-change-in-the-isd-to-decoupling"/>
      <w:r>
        <w:t xml:space="preserve">Relating change in the ISD to decoupling</w:t>
      </w:r>
      <w:bookmarkEnd w:id="39"/>
    </w:p>
    <w:p>
      <w:pPr>
        <w:pStyle w:val="FirstParagraph"/>
      </w:pPr>
      <w:r>
        <w:t xml:space="preserve">The ISD may change without resulting in a detectable decoupling of the dynamics of biomass/energy use and abundance at the whole-system level, if the change in the ISD is relatively ~balanced above and below the mean body size. We tested whether communities with a decoupling showed greater change in the ISD than systems that did not, using a linear model of the form</w:t>
      </w:r>
      <w:r>
        <w:t xml:space="preserve"> </w:t>
      </w:r>
      <w:r>
        <w:rPr>
          <w:rStyle w:val="VerbatimChar"/>
        </w:rPr>
        <w:t xml:space="preserve">isd_overlap ~ winning_model_type</w:t>
      </w:r>
      <w:r>
        <w:t xml:space="preserve"> </w:t>
      </w:r>
      <w:r>
        <w:t xml:space="preserve">using both the winning models for energy use and for biomass. We also tested the extent to which change in mean body size was linked to change in the ISD using a linear model of the form</w:t>
      </w:r>
      <w:r>
        <w:t xml:space="preserve"> </w:t>
      </w:r>
      <w:r>
        <w:rPr>
          <w:rStyle w:val="VerbatimChar"/>
        </w:rPr>
        <w:t xml:space="preserve">absolute_log_ratio_mean_size ~ isd_overlap</w:t>
      </w:r>
      <w:r>
        <w:t xml:space="preserve">.</w:t>
      </w:r>
    </w:p>
    <w:p>
      <w:pPr>
        <w:pStyle w:val="Heading2"/>
      </w:pPr>
      <w:bookmarkStart w:id="40" w:name="core-transient"/>
      <w:r>
        <w:t xml:space="preserve">Core-transient</w:t>
      </w:r>
      <w:bookmarkEnd w:id="40"/>
    </w:p>
    <w:p>
      <w:pPr>
        <w:pStyle w:val="FirstParagraph"/>
      </w:pPr>
      <w:r>
        <w:t xml:space="preserve">Because core and transient species may have different dynamics, we ran this pipeline on whole communities, and using just core species (those present in &gt;= 2/3 of timesteps).</w:t>
      </w:r>
    </w:p>
    <w:p>
      <w:pPr>
        <w:pStyle w:val="Heading2"/>
      </w:pPr>
      <w:bookmarkStart w:id="41" w:name="highly-sampled-bcrs"/>
      <w:r>
        <w:t xml:space="preserve">Highly-sampled BCRs</w:t>
      </w:r>
      <w:bookmarkEnd w:id="41"/>
    </w:p>
    <w:p>
      <w:pPr>
        <w:pStyle w:val="FirstParagraph"/>
      </w:pPr>
      <w:r>
        <w:t xml:space="preserve">I subsampled the 528 routes to get a maximum of 10 routes per bird conservation region, so that the highly-sampled BCRs don’t dominate aggregate analyses</w:t>
      </w:r>
      <w:r>
        <w:t xml:space="preserve"> </w:t>
      </w:r>
      <w:r>
        <w:t xml:space="preserve">(Thibault et al. 2011)</w:t>
      </w:r>
      <w:r>
        <w:t xml:space="preserve">. That yields 238 routes total. Results are the same; I haven’t included them in this document.</w:t>
      </w:r>
    </w:p>
    <w:p>
      <w:r>
        <w:br w:type="page"/>
      </w:r>
    </w:p>
    <w:p>
      <w:pPr>
        <w:pStyle w:val="Heading1"/>
      </w:pPr>
      <w:bookmarkStart w:id="42" w:name="results-1"/>
      <w:r>
        <w:t xml:space="preserve">Results</w:t>
      </w:r>
      <w:bookmarkEnd w:id="42"/>
    </w:p>
    <w:p>
      <w:pPr>
        <w:pStyle w:val="Heading2"/>
      </w:pPr>
      <w:bookmarkStart w:id="43" w:name="overview"/>
      <w:r>
        <w:t xml:space="preserve">Overview</w:t>
      </w:r>
      <w:bookmarkEnd w:id="43"/>
    </w:p>
    <w:p>
      <w:pPr>
        <w:pStyle w:val="FirstParagraph"/>
      </w:pPr>
      <w:r>
        <w:t xml:space="preserve">Here are the key points - more detailed plots and tables follow:</w:t>
      </w:r>
    </w:p>
    <w:p>
      <w:pPr>
        <w:pStyle w:val="Compact"/>
        <w:numPr>
          <w:numId w:val="1002"/>
          <w:ilvl w:val="0"/>
        </w:numPr>
      </w:pPr>
      <w:r>
        <w:t xml:space="preserve">The ISD is almost always</w:t>
      </w:r>
      <w:r>
        <w:t xml:space="preserve"> </w:t>
      </w:r>
      <w:r>
        <w:t xml:space="preserve">“</w:t>
      </w:r>
      <w:r>
        <w:t xml:space="preserve">different</w:t>
      </w:r>
      <w:r>
        <w:t xml:space="preserve">”</w:t>
      </w:r>
      <w:r>
        <w:t xml:space="preserve"> </w:t>
      </w:r>
      <w:r>
        <w:t xml:space="preserve">from beginning to end. The question is, what are the consequences of this change?</w:t>
      </w:r>
    </w:p>
    <w:p>
      <w:pPr>
        <w:pStyle w:val="Compact"/>
        <w:numPr>
          <w:numId w:val="1002"/>
          <w:ilvl w:val="0"/>
        </w:numPr>
      </w:pPr>
      <w:r>
        <w:t xml:space="preserve">About 1/3 of routes do not find a significant change in abundance, energy use, or biomass beginning to end.</w:t>
      </w:r>
    </w:p>
    <w:p>
      <w:pPr>
        <w:pStyle w:val="Compact"/>
        <w:numPr>
          <w:numId w:val="1002"/>
          <w:ilvl w:val="0"/>
        </w:numPr>
      </w:pPr>
      <w:r>
        <w:t xml:space="preserve">For routes with change in abundance from beginning to end, the majority of the time this is a</w:t>
      </w:r>
      <w:r>
        <w:t xml:space="preserve"> </w:t>
      </w:r>
      <w:r>
        <w:rPr>
          <w:b/>
        </w:rPr>
        <w:t xml:space="preserve">decrease in total abundance</w:t>
      </w:r>
      <w:r>
        <w:t xml:space="preserve">. (70% of changes in abundance are a decrease).</w:t>
      </w:r>
    </w:p>
    <w:p>
      <w:pPr>
        <w:pStyle w:val="Compact"/>
        <w:numPr>
          <w:numId w:val="1002"/>
          <w:ilvl w:val="0"/>
        </w:numPr>
      </w:pPr>
      <w:r>
        <w:t xml:space="preserve">About 1/3 of the time (for biomass) and 1/6 of the time (for energy use) change in the ISD drives the currency change away from the change driven by just abundance. When this happens,</w:t>
      </w:r>
      <w:r>
        <w:t xml:space="preserve"> </w:t>
      </w:r>
      <w:r>
        <w:rPr>
          <w:b/>
        </w:rPr>
        <w:t xml:space="preserve">75-80% of the time</w:t>
      </w:r>
      <w:r>
        <w:t xml:space="preserve"> </w:t>
      </w:r>
      <w:r>
        <w:t xml:space="preserve">the change for the currency is less negative than the change in abundance (corresponding crudely to an increase in mean body size/per capita metabolic rate).</w:t>
      </w:r>
    </w:p>
    <w:p>
      <w:pPr>
        <w:pStyle w:val="Compact"/>
        <w:numPr>
          <w:numId w:val="1002"/>
          <w:ilvl w:val="0"/>
        </w:numPr>
      </w:pPr>
      <w:r>
        <w:t xml:space="preserve">There is not a strong relationship between the magnitude of change in the ISD overall and a) whether a route has a slope or decoupling or b) shifts in mean body size.</w:t>
      </w:r>
    </w:p>
    <w:p>
      <w:pPr>
        <w:pStyle w:val="Compact"/>
        <w:numPr>
          <w:numId w:val="1002"/>
          <w:ilvl w:val="0"/>
        </w:numPr>
      </w:pPr>
      <w:r>
        <w:t xml:space="preserve">If we restrict to only core species, 1) we see decoupling less frequently; 2) for core species, the decoupling due to change in the ISD is evenly distributed between decreases and increases (whereas, if we include all species, it is skewed towards increases in body size/metabolic rate resulting in less negative slopes for biomass/energy use than for abundance). Changes in abundance remain predominately decreases.</w:t>
      </w:r>
    </w:p>
    <w:p>
      <w:pPr>
        <w:pStyle w:val="Heading2"/>
      </w:pPr>
      <w:bookmarkStart w:id="44" w:name="change-in-the-isd-begin-to-end"/>
      <w:r>
        <w:t xml:space="preserve">Change in the ISD begin-to-end</w:t>
      </w:r>
      <w:bookmarkEnd w:id="44"/>
    </w:p>
    <w:p>
      <w:pPr>
        <w:pStyle w:val="Heading3"/>
      </w:pPr>
      <w:bookmarkStart w:id="45" w:name="significance"/>
      <w:r>
        <w:t xml:space="preserve">“</w:t>
      </w:r>
      <w:r>
        <w:t xml:space="preserve">Significance</w:t>
      </w:r>
      <w:r>
        <w:t xml:space="preserve">”</w:t>
      </w:r>
      <w:bookmarkEnd w:id="45"/>
    </w:p>
    <w:p>
      <w:pPr>
        <w:pStyle w:val="FirstParagraph"/>
      </w:pPr>
      <w:r>
        <w:t xml:space="preserve">In 523 of 528 routes, the KS-test finds a significant difference in the raw ISDs begin-to-end. In 523 of 528, the percentile score of the KS-test statistic (relative to the bootstrap model) is greater than .95. In 523 of 528, the SES &gt; 2. We proceed as though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ISDs are always</w:t>
      </w:r>
      <w:r>
        <w:t xml:space="preserve"> </w:t>
      </w:r>
      <w:r>
        <w:t xml:space="preserve">“</w:t>
      </w:r>
      <w:r>
        <w:t xml:space="preserve">significantly</w:t>
      </w:r>
      <w:r>
        <w:t xml:space="preserve">”</w:t>
      </w:r>
      <w:r>
        <w:t xml:space="preserve"> </w:t>
      </w:r>
      <w:r>
        <w:t xml:space="preserve">different, and investigate the magnitude and consequences of these differences.</w:t>
      </w:r>
    </w:p>
    <w:p>
      <w:pPr>
        <w:pStyle w:val="Heading3"/>
      </w:pPr>
      <w:bookmarkStart w:id="46" w:name="magnitude"/>
      <w:r>
        <w:t xml:space="preserve">Magnitude</w:t>
      </w:r>
      <w:bookmarkEnd w:id="46"/>
    </w:p>
    <w:p>
      <w:pPr>
        <w:pStyle w:val="FirstParagraph"/>
      </w:pPr>
      <w:r>
        <w:drawing>
          <wp:inline>
            <wp:extent cx="4267200" cy="2438400"/>
            <wp:effectExtent b="0" l="0" r="0" t="0"/>
            <wp:docPr descr="" title="" id="1" name="Picture"/>
            <a:graphic>
              <a:graphicData uri="http://schemas.openxmlformats.org/drawingml/2006/picture">
                <pic:pic>
                  <pic:nvPicPr>
                    <pic:cNvPr descr="rough_outline_files/figure-docx/unnamed-chunk-6-1.png" id="0" name="Picture"/>
                    <pic:cNvPicPr>
                      <a:picLocks noChangeArrowheads="1" noChangeAspect="1"/>
                    </pic:cNvPicPr>
                  </pic:nvPicPr>
                  <pic:blipFill>
                    <a:blip r:embed="rId47"/>
                    <a:stretch>
                      <a:fillRect/>
                    </a:stretch>
                  </pic:blipFill>
                  <pic:spPr bwMode="auto">
                    <a:xfrm>
                      <a:off x="0" y="0"/>
                      <a:ext cx="4267200" cy="24384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0.5584  0.7634  0.8056  0.7973  0.8402  0.9143</w:t>
      </w:r>
    </w:p>
    <w:p>
      <w:pPr>
        <w:pStyle w:val="FirstParagraph"/>
      </w:pPr>
      <w:r>
        <w:t xml:space="preserve">For most sites, these significant differences translate into about 80% overlap/20% change in the distribution of density under the ISD - similar to the degree of change in the example shown above.</w:t>
      </w:r>
    </w:p>
    <w:p>
      <w:r>
        <w:br w:type="page"/>
      </w:r>
    </w:p>
    <w:p>
      <w:pPr>
        <w:pStyle w:val="Heading2"/>
      </w:pPr>
      <w:bookmarkStart w:id="48" w:name="change-in-abundance-and-function"/>
      <w:r>
        <w:t xml:space="preserve">Change in abundance and function</w:t>
      </w:r>
      <w:bookmarkEnd w:id="48"/>
    </w:p>
    <w:p>
      <w:pPr>
        <w:pStyle w:val="Heading3"/>
      </w:pPr>
      <w:bookmarkStart w:id="49" w:name="model-tallies"/>
      <w:r>
        <w:t xml:space="preserve">Model tallies</w:t>
      </w:r>
      <w:bookmarkEnd w:id="49"/>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left"/>
            </w:pPr>
            <w:r>
              <w:t xml:space="preserve">model_name</w:t>
            </w:r>
          </w:p>
        </w:tc>
        <w:tc>
          <w:tcPr>
            <w:tcBorders>
              <w:bottom w:val="single"/>
            </w:tcBorders>
            <w:vAlign w:val="bottom"/>
          </w:tcPr>
          <w:p>
            <w:pPr>
              <w:pStyle w:val="Compact"/>
              <w:jc w:val="left"/>
            </w:pPr>
            <w:r>
              <w:t xml:space="preserve">omodel_name</w:t>
            </w:r>
          </w:p>
        </w:tc>
        <w:tc>
          <w:tcPr>
            <w:tcBorders>
              <w:bottom w:val="single"/>
            </w:tcBorders>
            <w:vAlign w:val="bottom"/>
          </w:tcPr>
          <w:p>
            <w:pPr>
              <w:pStyle w:val="Compact"/>
              <w:jc w:val="left"/>
            </w:pPr>
            <w:r>
              <w:t xml:space="preserve">spp</w:t>
            </w:r>
          </w:p>
        </w:tc>
      </w:tr>
      <w:tr>
        <w:tc>
          <w:p>
            <w:pPr>
              <w:pStyle w:val="Compact"/>
              <w:jc w:val="left"/>
            </w:pPr>
            <w:r>
              <w:t xml:space="preserve">Biomass</w:t>
            </w:r>
          </w:p>
        </w:tc>
        <w:tc>
          <w:p>
            <w:pPr>
              <w:pStyle w:val="Compact"/>
              <w:jc w:val="left"/>
            </w:pPr>
            <w:r>
              <w:t xml:space="preserve">tb_stanlm_full</w:t>
            </w:r>
          </w:p>
        </w:tc>
        <w:tc>
          <w:p>
            <w:pPr>
              <w:pStyle w:val="Compact"/>
              <w:jc w:val="right"/>
            </w:pPr>
            <w:r>
              <w:t xml:space="preserve">178</w:t>
            </w:r>
          </w:p>
        </w:tc>
        <w:tc>
          <w:p>
            <w:pPr>
              <w:pStyle w:val="Compact"/>
              <w:jc w:val="right"/>
            </w:pPr>
            <w:r>
              <w:t xml:space="preserve">33.71212</w:t>
            </w:r>
          </w:p>
        </w:tc>
        <w:tc>
          <w:p>
            <w:pPr>
              <w:pStyle w:val="Compact"/>
              <w:jc w:val="left"/>
            </w:pPr>
            <w:r>
              <w:t xml:space="preserve">Decoupling</w:t>
            </w:r>
          </w:p>
        </w:tc>
        <w:tc>
          <w:p>
            <w:pPr>
              <w:pStyle w:val="Compact"/>
              <w:jc w:val="left"/>
            </w:pPr>
            <w:r>
              <w:t xml:space="preserve">Decoupling</w:t>
            </w:r>
          </w:p>
        </w:tc>
        <w:tc>
          <w:p>
            <w:pPr>
              <w:pStyle w:val="Compact"/>
              <w:jc w:val="left"/>
            </w:pPr>
            <w:r>
              <w:t xml:space="preserve">all</w:t>
            </w:r>
          </w:p>
        </w:tc>
      </w:tr>
      <w:tr>
        <w:tc>
          <w:p>
            <w:pPr>
              <w:pStyle w:val="Compact"/>
              <w:jc w:val="left"/>
            </w:pPr>
            <w:r>
              <w:t xml:space="preserve">Biomass</w:t>
            </w:r>
          </w:p>
        </w:tc>
        <w:tc>
          <w:p>
            <w:pPr>
              <w:pStyle w:val="Compact"/>
              <w:jc w:val="left"/>
            </w:pPr>
            <w:r>
              <w:t xml:space="preserve">tb_stanlm_nosource</w:t>
            </w:r>
          </w:p>
        </w:tc>
        <w:tc>
          <w:p>
            <w:pPr>
              <w:pStyle w:val="Compact"/>
              <w:jc w:val="right"/>
            </w:pPr>
            <w:r>
              <w:t xml:space="preserve">208</w:t>
            </w:r>
          </w:p>
        </w:tc>
        <w:tc>
          <w:p>
            <w:pPr>
              <w:pStyle w:val="Compact"/>
              <w:jc w:val="right"/>
            </w:pPr>
            <w:r>
              <w:t xml:space="preserve">39.39394</w:t>
            </w:r>
          </w:p>
        </w:tc>
        <w:tc>
          <w:p>
            <w:pPr>
              <w:pStyle w:val="Compact"/>
              <w:jc w:val="left"/>
            </w:pPr>
            <w:r>
              <w:t xml:space="preserve">Slope</w:t>
            </w:r>
          </w:p>
        </w:tc>
        <w:tc>
          <w:p>
            <w:pPr>
              <w:pStyle w:val="Compact"/>
              <w:jc w:val="left"/>
            </w:pPr>
            <w:r>
              <w:t xml:space="preserve">Slope</w:t>
            </w:r>
          </w:p>
        </w:tc>
        <w:tc>
          <w:p>
            <w:pPr>
              <w:pStyle w:val="Compact"/>
              <w:jc w:val="left"/>
            </w:pPr>
            <w:r>
              <w:t xml:space="preserve">all</w:t>
            </w:r>
          </w:p>
        </w:tc>
      </w:tr>
      <w:tr>
        <w:tc>
          <w:p>
            <w:pPr>
              <w:pStyle w:val="Compact"/>
              <w:jc w:val="left"/>
            </w:pPr>
            <w:r>
              <w:t xml:space="preserve">Biomass</w:t>
            </w:r>
          </w:p>
        </w:tc>
        <w:tc>
          <w:p>
            <w:pPr>
              <w:pStyle w:val="Compact"/>
              <w:jc w:val="left"/>
            </w:pPr>
            <w:r>
              <w:t xml:space="preserve">tb_stanlm_notime</w:t>
            </w:r>
          </w:p>
        </w:tc>
        <w:tc>
          <w:p>
            <w:pPr>
              <w:pStyle w:val="Compact"/>
              <w:jc w:val="right"/>
            </w:pPr>
            <w:r>
              <w:t xml:space="preserve">142</w:t>
            </w:r>
          </w:p>
        </w:tc>
        <w:tc>
          <w:p>
            <w:pPr>
              <w:pStyle w:val="Compact"/>
              <w:jc w:val="right"/>
            </w:pPr>
            <w:r>
              <w:t xml:space="preserve">26.89394</w:t>
            </w:r>
          </w:p>
        </w:tc>
        <w:tc>
          <w:p>
            <w:pPr>
              <w:pStyle w:val="Compact"/>
              <w:jc w:val="left"/>
            </w:pPr>
            <w:r>
              <w:t xml:space="preserve">Intercept-only</w:t>
            </w:r>
          </w:p>
        </w:tc>
        <w:tc>
          <w:p>
            <w:pPr>
              <w:pStyle w:val="Compact"/>
              <w:jc w:val="left"/>
            </w:pPr>
            <w:r>
              <w:t xml:space="preserve">Intercept-only</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te_stanlm_full</w:t>
            </w:r>
          </w:p>
        </w:tc>
        <w:tc>
          <w:p>
            <w:pPr>
              <w:pStyle w:val="Compact"/>
              <w:jc w:val="right"/>
            </w:pPr>
            <w:r>
              <w:t xml:space="preserve">76</w:t>
            </w:r>
          </w:p>
        </w:tc>
        <w:tc>
          <w:p>
            <w:pPr>
              <w:pStyle w:val="Compact"/>
              <w:jc w:val="right"/>
            </w:pPr>
            <w:r>
              <w:t xml:space="preserve">14.39394</w:t>
            </w:r>
          </w:p>
        </w:tc>
        <w:tc>
          <w:p>
            <w:pPr>
              <w:pStyle w:val="Compact"/>
              <w:jc w:val="left"/>
            </w:pPr>
            <w:r>
              <w:t xml:space="preserve">Decoupling</w:t>
            </w:r>
          </w:p>
        </w:tc>
        <w:tc>
          <w:p>
            <w:pPr>
              <w:pStyle w:val="Compact"/>
              <w:jc w:val="left"/>
            </w:pPr>
            <w:r>
              <w:t xml:space="preserve">Decoupling</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te_stanlm_nosource</w:t>
            </w:r>
          </w:p>
        </w:tc>
        <w:tc>
          <w:p>
            <w:pPr>
              <w:pStyle w:val="Compact"/>
              <w:jc w:val="right"/>
            </w:pPr>
            <w:r>
              <w:t xml:space="preserve">290</w:t>
            </w:r>
          </w:p>
        </w:tc>
        <w:tc>
          <w:p>
            <w:pPr>
              <w:pStyle w:val="Compact"/>
              <w:jc w:val="right"/>
            </w:pPr>
            <w:r>
              <w:t xml:space="preserve">54.92424</w:t>
            </w:r>
          </w:p>
        </w:tc>
        <w:tc>
          <w:p>
            <w:pPr>
              <w:pStyle w:val="Compact"/>
              <w:jc w:val="left"/>
            </w:pPr>
            <w:r>
              <w:t xml:space="preserve">Slope</w:t>
            </w:r>
          </w:p>
        </w:tc>
        <w:tc>
          <w:p>
            <w:pPr>
              <w:pStyle w:val="Compact"/>
              <w:jc w:val="left"/>
            </w:pPr>
            <w:r>
              <w:t xml:space="preserve">Slope</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te_stanlm_notime</w:t>
            </w:r>
          </w:p>
        </w:tc>
        <w:tc>
          <w:p>
            <w:pPr>
              <w:pStyle w:val="Compact"/>
              <w:jc w:val="right"/>
            </w:pPr>
            <w:r>
              <w:t xml:space="preserve">162</w:t>
            </w:r>
          </w:p>
        </w:tc>
        <w:tc>
          <w:p>
            <w:pPr>
              <w:pStyle w:val="Compact"/>
              <w:jc w:val="right"/>
            </w:pPr>
            <w:r>
              <w:t xml:space="preserve">30.68182</w:t>
            </w:r>
          </w:p>
        </w:tc>
        <w:tc>
          <w:p>
            <w:pPr>
              <w:pStyle w:val="Compact"/>
              <w:jc w:val="left"/>
            </w:pPr>
            <w:r>
              <w:t xml:space="preserve">Intercept-only</w:t>
            </w:r>
          </w:p>
        </w:tc>
        <w:tc>
          <w:p>
            <w:pPr>
              <w:pStyle w:val="Compact"/>
              <w:jc w:val="left"/>
            </w:pPr>
            <w:r>
              <w:t xml:space="preserve">Intercept-only</w:t>
            </w:r>
          </w:p>
        </w:tc>
        <w:tc>
          <w:p>
            <w:pPr>
              <w:pStyle w:val="Compact"/>
              <w:jc w:val="left"/>
            </w:pPr>
            <w:r>
              <w:t xml:space="preserve">all</w:t>
            </w:r>
          </w:p>
        </w:tc>
      </w:tr>
    </w:tbl>
    <w:p>
      <w:pPr>
        <w:pStyle w:val="BodyText"/>
      </w:pPr>
      <w:r>
        <w:t xml:space="preserve">For 69 percent (for energy use) and 73 percent (for biomass) of routes, there is a detectable change in abundance and/or one of the currencies from begin to end.</w:t>
      </w:r>
    </w:p>
    <w:p>
      <w:pPr>
        <w:pStyle w:val="BodyText"/>
      </w:pPr>
      <w:r>
        <w:t xml:space="preserve">For 14 percent (for energy) and 34 percent (for biomass) of routes, there is a</w:t>
      </w:r>
      <w:r>
        <w:t xml:space="preserve"> </w:t>
      </w:r>
      <w:r>
        <w:rPr>
          <w:i/>
        </w:rPr>
        <w:t xml:space="preserve">decoupling</w:t>
      </w:r>
      <w:r>
        <w:t xml:space="preserve"> </w:t>
      </w:r>
      <w:r>
        <w:t xml:space="preserve">of the dynamics of the currency from what would be expected given change in abundance alone.</w:t>
      </w:r>
    </w:p>
    <w:p>
      <w:pPr>
        <w:pStyle w:val="Heading3"/>
      </w:pPr>
      <w:bookmarkStart w:id="50" w:name="direction-of-change-in-abundance"/>
      <w:r>
        <w:t xml:space="preserve">Direction of change in abundance</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0.2829582</w:t>
            </w:r>
          </w:p>
        </w:tc>
        <w:tc>
          <w:p>
            <w:pPr>
              <w:pStyle w:val="Compact"/>
              <w:jc w:val="right"/>
            </w:pPr>
            <w:r>
              <w:t xml:space="preserve">0.7170418</w:t>
            </w:r>
          </w:p>
        </w:tc>
      </w:tr>
      <w:tr>
        <w:tc>
          <w:p>
            <w:pPr>
              <w:pStyle w:val="Compact"/>
              <w:jc w:val="left"/>
            </w:pPr>
            <w:r>
              <w:t xml:space="preserve">energy</w:t>
            </w:r>
          </w:p>
        </w:tc>
        <w:tc>
          <w:p>
            <w:pPr>
              <w:pStyle w:val="Compact"/>
              <w:jc w:val="right"/>
            </w:pPr>
            <w:r>
              <w:t xml:space="preserve">0.2928994</w:t>
            </w:r>
          </w:p>
        </w:tc>
        <w:tc>
          <w:p>
            <w:pPr>
              <w:pStyle w:val="Compact"/>
              <w:jc w:val="right"/>
            </w:pPr>
            <w:r>
              <w:t xml:space="preserve">0.7071006</w:t>
            </w:r>
          </w:p>
        </w:tc>
      </w:tr>
    </w:tbl>
    <w:p>
      <w:pPr>
        <w:pStyle w:val="BodyText"/>
      </w:pPr>
      <w:r>
        <w:t xml:space="preserve">For about 70% of models</w:t>
      </w:r>
      <w:r>
        <w:t xml:space="preserve"> </w:t>
      </w:r>
      <w:r>
        <w:rPr>
          <w:i/>
        </w:rPr>
        <w:t xml:space="preserve">with an abundance slope that does not include 0</w:t>
      </w:r>
      <w:r>
        <w:t xml:space="preserve">, abundance is decreasing.</w:t>
      </w:r>
    </w:p>
    <w:p>
      <w:pPr>
        <w:pStyle w:val="Heading3"/>
      </w:pPr>
      <w:bookmarkStart w:id="51" w:name="direction-of-offset-due-to-isd"/>
      <w:r>
        <w:t xml:space="preserve">Direction of offset due to ISD</w:t>
      </w:r>
      <w:bookmarkEnd w:id="51"/>
    </w:p>
    <w:tbl>
      <w:tblPr>
        <w:tblStyle w:val="Table"/>
        <w:tblW w:type="pct" w:w="5000.0"/>
        <w:tblLook w:firstRow="1"/>
      </w:tblPr>
      <w:tblGrid>
        <w:gridCol w:w="828"/>
        <w:gridCol w:w="2670"/>
        <w:gridCol w:w="2670"/>
        <w:gridCol w:w="174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percent_currency_above_abund</w:t>
            </w:r>
          </w:p>
        </w:tc>
        <w:tc>
          <w:tcPr>
            <w:tcBorders>
              <w:bottom w:val="single"/>
            </w:tcBorders>
            <w:vAlign w:val="bottom"/>
          </w:tcPr>
          <w:p>
            <w:pPr>
              <w:pStyle w:val="Compact"/>
              <w:jc w:val="right"/>
            </w:pPr>
            <w:r>
              <w:t xml:space="preserve">percent_currency_below_abund</w:t>
            </w:r>
          </w:p>
        </w:tc>
        <w:tc>
          <w:tcPr>
            <w:tcBorders>
              <w:bottom w:val="single"/>
            </w:tcBorders>
            <w:vAlign w:val="bottom"/>
          </w:tcPr>
          <w:p>
            <w:pPr>
              <w:pStyle w:val="Compact"/>
              <w:jc w:val="right"/>
            </w:pPr>
            <w:r>
              <w:t xml:space="preserve">n_with_interaction</w:t>
            </w:r>
          </w:p>
        </w:tc>
      </w:tr>
      <w:tr>
        <w:tc>
          <w:p>
            <w:pPr>
              <w:pStyle w:val="Compact"/>
              <w:jc w:val="left"/>
            </w:pPr>
            <w:r>
              <w:t xml:space="preserve">biomass</w:t>
            </w:r>
          </w:p>
        </w:tc>
        <w:tc>
          <w:p>
            <w:pPr>
              <w:pStyle w:val="Compact"/>
              <w:jc w:val="right"/>
            </w:pPr>
            <w:r>
              <w:t xml:space="preserve">0.8033708</w:t>
            </w:r>
          </w:p>
        </w:tc>
        <w:tc>
          <w:p>
            <w:pPr>
              <w:pStyle w:val="Compact"/>
              <w:jc w:val="right"/>
            </w:pPr>
            <w:r>
              <w:t xml:space="preserve">0.1966292</w:t>
            </w:r>
          </w:p>
        </w:tc>
        <w:tc>
          <w:p>
            <w:pPr>
              <w:pStyle w:val="Compact"/>
              <w:jc w:val="right"/>
            </w:pPr>
            <w:r>
              <w:t xml:space="preserve">178</w:t>
            </w:r>
          </w:p>
        </w:tc>
      </w:tr>
      <w:tr>
        <w:tc>
          <w:p>
            <w:pPr>
              <w:pStyle w:val="Compact"/>
              <w:jc w:val="left"/>
            </w:pPr>
            <w:r>
              <w:t xml:space="preserve">energy</w:t>
            </w:r>
          </w:p>
        </w:tc>
        <w:tc>
          <w:p>
            <w:pPr>
              <w:pStyle w:val="Compact"/>
              <w:jc w:val="right"/>
            </w:pPr>
            <w:r>
              <w:t xml:space="preserve">0.7500000</w:t>
            </w:r>
          </w:p>
        </w:tc>
        <w:tc>
          <w:p>
            <w:pPr>
              <w:pStyle w:val="Compact"/>
              <w:jc w:val="right"/>
            </w:pPr>
            <w:r>
              <w:t xml:space="preserve">0.2368421</w:t>
            </w:r>
          </w:p>
        </w:tc>
        <w:tc>
          <w:p>
            <w:pPr>
              <w:pStyle w:val="Compact"/>
              <w:jc w:val="right"/>
            </w:pPr>
            <w:r>
              <w:t xml:space="preserve">76</w:t>
            </w:r>
          </w:p>
        </w:tc>
      </w:tr>
    </w:tbl>
    <w:p>
      <w:pPr>
        <w:pStyle w:val="BodyText"/>
      </w:pPr>
      <w:r>
        <w:t xml:space="preserve">For models with a currency offset, nearly</w:t>
      </w:r>
      <w:r>
        <w:t xml:space="preserve"> </w:t>
      </w:r>
      <w:r>
        <w:rPr>
          <w:b/>
        </w:rPr>
        <w:t xml:space="preserve">80% of the time</w:t>
      </w:r>
      <w:r>
        <w:t xml:space="preserve"> </w:t>
      </w:r>
      <w:r>
        <w:t xml:space="preserve">that offset is towards the currency-slope being less negative than for abundance.</w:t>
      </w:r>
    </w:p>
    <w:p>
      <w:pPr>
        <w:pStyle w:val="BodyText"/>
      </w:pPr>
      <w:r>
        <w:drawing>
          <wp:inline>
            <wp:extent cx="5943600" cy="5943600"/>
            <wp:effectExtent b="0" l="0" r="0" t="0"/>
            <wp:docPr descr="" title="" id="1" name="Picture"/>
            <a:graphic>
              <a:graphicData uri="http://schemas.openxmlformats.org/drawingml/2006/picture">
                <pic:pic>
                  <pic:nvPicPr>
                    <pic:cNvPr descr="rough_outline_files/figure-docx/unnamed-chunk-10-1.png" id="0"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53" w:name="X869ecf432ea60aaa10af2b9a621b05902d16811"/>
      <w:r>
        <w:t xml:space="preserve">Figure 1. Changes in biomass and energy use due to changes in the ISD vs. just abundance.</w:t>
      </w:r>
      <w:bookmarkEnd w:id="53"/>
    </w:p>
    <w:p>
      <w:pPr>
        <w:pStyle w:val="FirstParagraph"/>
      </w:pPr>
      <w:r>
        <w:rPr>
          <w:i/>
        </w:rPr>
        <w:t xml:space="preserve">Axes:</w:t>
      </w:r>
      <w:r>
        <w:t xml:space="preserve"> </w:t>
      </w:r>
      <w:r>
        <w:t xml:space="preserve">The x-axis is the change in the currency (energy use, top, or biomass, bottom) expected due only to change in abundance (as the mean for 2014:2018 divided by the mean for 1988:1992). The y-axis is the change in energy use/biomass taking into account change in the ISD. The sloped line marks the 1:1 line, which corresponds to change incorporating the ISD mirroring change due just to abundance. The crossbars mark 1, which corresponds to the beginning and the ending values being the same. The points are colored as follows: Blue means there is no slope term (intercept-only). Red means there is a change in abundance, but no difference in slopes between abundance and the currency (i.e. incorporating the ISD). Green means there is a decoupling.</w:t>
      </w:r>
    </w:p>
    <w:p>
      <w:pPr>
        <w:pStyle w:val="BodyText"/>
      </w:pPr>
      <w:r>
        <w:rPr>
          <w:i/>
        </w:rPr>
        <w:t xml:space="preserve">Interpretation:</w:t>
      </w:r>
    </w:p>
    <w:p>
      <w:pPr>
        <w:pStyle w:val="Compact"/>
        <w:numPr>
          <w:numId w:val="1003"/>
          <w:ilvl w:val="0"/>
        </w:numPr>
      </w:pPr>
      <w:r>
        <w:t xml:space="preserve">There is a concentration towards decreases</w:t>
      </w:r>
    </w:p>
    <w:p>
      <w:pPr>
        <w:pStyle w:val="Compact"/>
        <w:numPr>
          <w:numId w:val="1003"/>
          <w:ilvl w:val="0"/>
        </w:numPr>
      </w:pPr>
      <w:r>
        <w:t xml:space="preserve">There is good correspondence to the 1:1 line. To a point.</w:t>
      </w:r>
    </w:p>
    <w:p>
      <w:pPr>
        <w:pStyle w:val="Compact"/>
        <w:numPr>
          <w:numId w:val="1003"/>
          <w:ilvl w:val="0"/>
        </w:numPr>
      </w:pPr>
      <w:r>
        <w:t xml:space="preserve">Jitter off the 1:1 line is concentrated above it, meaning the ISD is resulting in a less negative change over time. This is most pronounced for biomass.</w:t>
      </w:r>
    </w:p>
    <w:p>
      <w:pPr>
        <w:pStyle w:val="Compact"/>
        <w:numPr>
          <w:numId w:val="1003"/>
          <w:ilvl w:val="0"/>
        </w:numPr>
      </w:pPr>
      <w:r>
        <w:t xml:space="preserve">These plots give a sense of the magnitude of change that you can’t get from summary tables, etc.</w:t>
      </w:r>
    </w:p>
    <w:p>
      <w:r>
        <w:br w:type="page"/>
      </w:r>
    </w:p>
    <w:p>
      <w:pPr>
        <w:pStyle w:val="Heading2"/>
      </w:pPr>
      <w:bookmarkStart w:id="54" w:name="Xa80e6b015f74f089f12bd18396d9933c4e66dd9"/>
      <w:r>
        <w:t xml:space="preserve">Relating change in the ISD to decoupling</w:t>
      </w:r>
      <w:bookmarkEnd w:id="54"/>
    </w:p>
    <w:p>
      <w:pPr>
        <w:pStyle w:val="FirstParagraph"/>
      </w:pPr>
      <w:r>
        <w:drawing>
          <wp:inline>
            <wp:extent cx="5943600" cy="3566160"/>
            <wp:effectExtent b="0" l="0" r="0" t="0"/>
            <wp:docPr descr="" title="" id="1" name="Picture"/>
            <a:graphic>
              <a:graphicData uri="http://schemas.openxmlformats.org/drawingml/2006/picture">
                <pic:pic>
                  <pic:nvPicPr>
                    <pic:cNvPr descr="rough_outline_files/figure-docx/unnamed-chunk-11-1.png" id="0" name="Picture"/>
                    <pic:cNvPicPr>
                      <a:picLocks noChangeArrowheads="1" noChangeAspect="1"/>
                    </pic:cNvPicPr>
                  </pic:nvPicPr>
                  <pic:blipFill>
                    <a:blip r:embed="rId55"/>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This figure shows the density distributions of overlap values for routes that are best-characterized using the different models (color scale). They don’t really differ (p values &gt; .8 for both energy and biomass).</w:t>
      </w:r>
    </w:p>
    <w:p>
      <w:pPr>
        <w:pStyle w:val="BodyText"/>
      </w:pPr>
      <w:r>
        <w:drawing>
          <wp:inline>
            <wp:extent cx="4876800" cy="3657600"/>
            <wp:effectExtent b="0" l="0" r="0" t="0"/>
            <wp:docPr descr="" title="" id="1" name="Picture"/>
            <a:graphic>
              <a:graphicData uri="http://schemas.openxmlformats.org/drawingml/2006/picture">
                <pic:pic>
                  <pic:nvPicPr>
                    <pic:cNvPr descr="rough_outline_files/figure-docx/unnamed-chunk-12-1.png" id="0" name="Picture"/>
                    <pic:cNvPicPr>
                      <a:picLocks noChangeArrowheads="1" noChangeAspect="1"/>
                    </pic:cNvPicPr>
                  </pic:nvPicPr>
                  <pic:blipFill>
                    <a:blip r:embed="rId56"/>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5"/>
      </w:pPr>
      <w:bookmarkStart w:id="57" w:name="X69f110cb80c13ab179798bf12195d95b25c6648"/>
      <w:r>
        <w:t xml:space="preserve">Figure 2. Change in the ISD vs. change in mean size.</w:t>
      </w:r>
      <w:bookmarkEnd w:id="57"/>
    </w:p>
    <w:p>
      <w:pPr>
        <w:pStyle w:val="FirstParagraph"/>
      </w:pPr>
      <w:r>
        <w:rPr>
          <w:i/>
        </w:rPr>
        <w:t xml:space="preserve">Axes:</w:t>
      </w:r>
      <w:r>
        <w:t xml:space="preserve"> </w:t>
      </w:r>
      <w:r>
        <w:t xml:space="preserve">The x axis is the ISD overlap for a route (ranges 0-1, with 1 being identical ISDs), and the y axis is the absolute log ratio of mean body size for the end vs the beginning. The points are individual routes; the line is the prediction from a quadratic model fitting</w:t>
      </w:r>
      <w:r>
        <w:t xml:space="preserve"> </w:t>
      </w:r>
      <w:r>
        <w:rPr>
          <w:rStyle w:val="VerbatimChar"/>
        </w:rPr>
        <w:t xml:space="preserve">absolute_log_ratio ~ isd_overlap</w:t>
      </w:r>
      <w:r>
        <w:t xml:space="preserve">.</w:t>
      </w:r>
    </w:p>
    <w:p>
      <w:pPr>
        <w:pStyle w:val="BodyText"/>
      </w:pPr>
      <w:r>
        <w:rPr>
          <w:i/>
        </w:rPr>
        <w:t xml:space="preserve">Interpretation</w:t>
      </w:r>
      <w:r>
        <w:t xml:space="preserve">: The relationship between overall change in the ISD (overlap) and change</w:t>
      </w:r>
      <w:r>
        <w:t xml:space="preserve"> </w:t>
      </w:r>
      <w:r>
        <w:rPr>
          <w:i/>
        </w:rPr>
        <w:t xml:space="preserve">in mean body size</w:t>
      </w:r>
      <w:r>
        <w:t xml:space="preserve"> </w:t>
      </w:r>
      <w:r>
        <w:t xml:space="preserve">is a very messy one; R2 = .06. It’s not possible to have a</w:t>
      </w:r>
      <w:r>
        <w:t xml:space="preserve"> </w:t>
      </w:r>
      <w:r>
        <w:rPr>
          <w:i/>
        </w:rPr>
        <w:t xml:space="preserve">lot</w:t>
      </w:r>
      <w:r>
        <w:t xml:space="preserve"> </w:t>
      </w:r>
      <w:r>
        <w:t xml:space="preserve">of change in mean body size if there is very high ISD overlap, hence the slight negative relationship. However, for any given amount of change in the ISD there is a lot of variability in the effect on mean size.</w:t>
      </w:r>
    </w:p>
    <w:p>
      <w:r>
        <w:br w:type="page"/>
      </w:r>
    </w:p>
    <w:p>
      <w:pPr>
        <w:pStyle w:val="Heading2"/>
      </w:pPr>
      <w:bookmarkStart w:id="58" w:name="core-transient-1"/>
      <w:r>
        <w:t xml:space="preserve">Core-transient</w:t>
      </w:r>
      <w:bookmarkEnd w:id="58"/>
    </w:p>
    <w:p>
      <w:pPr>
        <w:pStyle w:val="Heading3"/>
      </w:pPr>
      <w:bookmarkStart w:id="59" w:name="model-tally-comparison"/>
      <w:r>
        <w:t xml:space="preserve">Model tally comparison:</w:t>
      </w:r>
      <w:bookmarkEnd w:id="59"/>
    </w:p>
    <w:tbl>
      <w:tblPr>
        <w:tblStyle w:val="Table"/>
        <w:tblW w:type="pct" w:w="0.0"/>
        <w:tblLook w:firstRow="1"/>
      </w:tblPr>
      <w:tblGrid/>
      <w:tr>
        <w:trPr>
          <w:cnfStyle w:firstRow="1"/>
        </w:trPr>
        <w:tc>
          <w:tcPr>
            <w:tcBorders>
              <w:bottom w:val="single"/>
            </w:tcBorders>
            <w:vAlign w:val="bottom"/>
          </w:tcPr>
          <w:p>
            <w:pPr>
              <w:pStyle w:val="Compact"/>
              <w:jc w:val="left"/>
            </w:pPr>
            <w:r>
              <w:t xml:space="preserve">model_name</w:t>
            </w:r>
          </w:p>
        </w:tc>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right"/>
            </w:pPr>
            <w:r>
              <w:t xml:space="preserve">percent_core</w:t>
            </w:r>
          </w:p>
        </w:tc>
      </w:tr>
      <w:tr>
        <w:tc>
          <w:p>
            <w:pPr>
              <w:pStyle w:val="Compact"/>
              <w:jc w:val="left"/>
            </w:pPr>
            <w:r>
              <w:t xml:space="preserve">Decoupling</w:t>
            </w:r>
          </w:p>
        </w:tc>
        <w:tc>
          <w:p>
            <w:pPr>
              <w:pStyle w:val="Compact"/>
              <w:jc w:val="left"/>
            </w:pPr>
            <w:r>
              <w:t xml:space="preserve">Biomass</w:t>
            </w:r>
          </w:p>
        </w:tc>
        <w:tc>
          <w:p>
            <w:pPr>
              <w:pStyle w:val="Compact"/>
              <w:jc w:val="right"/>
            </w:pPr>
            <w:r>
              <w:t xml:space="preserve">33.71212</w:t>
            </w:r>
          </w:p>
        </w:tc>
        <w:tc>
          <w:p>
            <w:pPr>
              <w:pStyle w:val="Compact"/>
              <w:jc w:val="right"/>
            </w:pPr>
            <w:r>
              <w:t xml:space="preserve">17.803030</w:t>
            </w:r>
          </w:p>
        </w:tc>
      </w:tr>
      <w:tr>
        <w:tc>
          <w:p>
            <w:pPr>
              <w:pStyle w:val="Compact"/>
              <w:jc w:val="left"/>
            </w:pPr>
            <w:r>
              <w:t xml:space="preserve">Slope</w:t>
            </w:r>
          </w:p>
        </w:tc>
        <w:tc>
          <w:p>
            <w:pPr>
              <w:pStyle w:val="Compact"/>
              <w:jc w:val="left"/>
            </w:pPr>
            <w:r>
              <w:t xml:space="preserve">Biomass</w:t>
            </w:r>
          </w:p>
        </w:tc>
        <w:tc>
          <w:p>
            <w:pPr>
              <w:pStyle w:val="Compact"/>
              <w:jc w:val="right"/>
            </w:pPr>
            <w:r>
              <w:t xml:space="preserve">39.39394</w:t>
            </w:r>
          </w:p>
        </w:tc>
        <w:tc>
          <w:p>
            <w:pPr>
              <w:pStyle w:val="Compact"/>
              <w:jc w:val="right"/>
            </w:pPr>
            <w:r>
              <w:t xml:space="preserve">50.568182</w:t>
            </w:r>
          </w:p>
        </w:tc>
      </w:tr>
      <w:tr>
        <w:tc>
          <w:p>
            <w:pPr>
              <w:pStyle w:val="Compact"/>
              <w:jc w:val="left"/>
            </w:pPr>
            <w:r>
              <w:t xml:space="preserve">Intercept-only</w:t>
            </w:r>
          </w:p>
        </w:tc>
        <w:tc>
          <w:p>
            <w:pPr>
              <w:pStyle w:val="Compact"/>
              <w:jc w:val="left"/>
            </w:pPr>
            <w:r>
              <w:t xml:space="preserve">Biomass</w:t>
            </w:r>
          </w:p>
        </w:tc>
        <w:tc>
          <w:p>
            <w:pPr>
              <w:pStyle w:val="Compact"/>
              <w:jc w:val="right"/>
            </w:pPr>
            <w:r>
              <w:t xml:space="preserve">26.89394</w:t>
            </w:r>
          </w:p>
        </w:tc>
        <w:tc>
          <w:p>
            <w:pPr>
              <w:pStyle w:val="Compact"/>
              <w:jc w:val="right"/>
            </w:pPr>
            <w:r>
              <w:t xml:space="preserve">31.628788</w:t>
            </w:r>
          </w:p>
        </w:tc>
      </w:tr>
      <w:tr>
        <w:tc>
          <w:p>
            <w:pPr>
              <w:pStyle w:val="Compact"/>
              <w:jc w:val="left"/>
            </w:pPr>
            <w:r>
              <w:t xml:space="preserve">Decoupling</w:t>
            </w:r>
          </w:p>
        </w:tc>
        <w:tc>
          <w:p>
            <w:pPr>
              <w:pStyle w:val="Compact"/>
              <w:jc w:val="left"/>
            </w:pPr>
            <w:r>
              <w:t xml:space="preserve">Energy</w:t>
            </w:r>
          </w:p>
        </w:tc>
        <w:tc>
          <w:p>
            <w:pPr>
              <w:pStyle w:val="Compact"/>
              <w:jc w:val="right"/>
            </w:pPr>
            <w:r>
              <w:t xml:space="preserve">14.39394</w:t>
            </w:r>
          </w:p>
        </w:tc>
        <w:tc>
          <w:p>
            <w:pPr>
              <w:pStyle w:val="Compact"/>
              <w:jc w:val="right"/>
            </w:pPr>
            <w:r>
              <w:t xml:space="preserve">9.659091</w:t>
            </w:r>
          </w:p>
        </w:tc>
      </w:tr>
      <w:tr>
        <w:tc>
          <w:p>
            <w:pPr>
              <w:pStyle w:val="Compact"/>
              <w:jc w:val="left"/>
            </w:pPr>
            <w:r>
              <w:t xml:space="preserve">Slope</w:t>
            </w:r>
          </w:p>
        </w:tc>
        <w:tc>
          <w:p>
            <w:pPr>
              <w:pStyle w:val="Compact"/>
              <w:jc w:val="left"/>
            </w:pPr>
            <w:r>
              <w:t xml:space="preserve">Energy</w:t>
            </w:r>
          </w:p>
        </w:tc>
        <w:tc>
          <w:p>
            <w:pPr>
              <w:pStyle w:val="Compact"/>
              <w:jc w:val="right"/>
            </w:pPr>
            <w:r>
              <w:t xml:space="preserve">54.92424</w:t>
            </w:r>
          </w:p>
        </w:tc>
        <w:tc>
          <w:p>
            <w:pPr>
              <w:pStyle w:val="Compact"/>
              <w:jc w:val="right"/>
            </w:pPr>
            <w:r>
              <w:t xml:space="preserve">59.280303</w:t>
            </w:r>
          </w:p>
        </w:tc>
      </w:tr>
      <w:tr>
        <w:tc>
          <w:p>
            <w:pPr>
              <w:pStyle w:val="Compact"/>
              <w:jc w:val="left"/>
            </w:pPr>
            <w:r>
              <w:t xml:space="preserve">Intercept-only</w:t>
            </w:r>
          </w:p>
        </w:tc>
        <w:tc>
          <w:p>
            <w:pPr>
              <w:pStyle w:val="Compact"/>
              <w:jc w:val="left"/>
            </w:pPr>
            <w:r>
              <w:t xml:space="preserve">Energy</w:t>
            </w:r>
          </w:p>
        </w:tc>
        <w:tc>
          <w:p>
            <w:pPr>
              <w:pStyle w:val="Compact"/>
              <w:jc w:val="right"/>
            </w:pPr>
            <w:r>
              <w:t xml:space="preserve">30.68182</w:t>
            </w:r>
          </w:p>
        </w:tc>
        <w:tc>
          <w:p>
            <w:pPr>
              <w:pStyle w:val="Compact"/>
              <w:jc w:val="right"/>
            </w:pPr>
            <w:r>
              <w:t xml:space="preserve">31.060606</w:t>
            </w:r>
          </w:p>
        </w:tc>
      </w:tr>
    </w:tbl>
    <w:p>
      <w:pPr>
        <w:pStyle w:val="BodyText"/>
      </w:pPr>
      <w:r>
        <w:t xml:space="preserve">Restricting to just core species, we see fewer instances of decoupling, mostly for biomass.</w:t>
      </w:r>
    </w:p>
    <w:p>
      <w:pPr>
        <w:pStyle w:val="BodyText"/>
      </w:pPr>
      <w:r>
        <w:t xml:space="preserve">Looking at the direction of change, first here is for all species for comparison: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0.2829582</w:t>
            </w:r>
          </w:p>
        </w:tc>
        <w:tc>
          <w:p>
            <w:pPr>
              <w:pStyle w:val="Compact"/>
              <w:jc w:val="right"/>
            </w:pPr>
            <w:r>
              <w:t xml:space="preserve">0.7170418</w:t>
            </w:r>
          </w:p>
        </w:tc>
      </w:tr>
      <w:tr>
        <w:tc>
          <w:p>
            <w:pPr>
              <w:pStyle w:val="Compact"/>
              <w:jc w:val="left"/>
            </w:pPr>
            <w:r>
              <w:t xml:space="preserve">energy</w:t>
            </w:r>
          </w:p>
        </w:tc>
        <w:tc>
          <w:p>
            <w:pPr>
              <w:pStyle w:val="Compact"/>
              <w:jc w:val="right"/>
            </w:pPr>
            <w:r>
              <w:t xml:space="preserve">0.2928994</w:t>
            </w:r>
          </w:p>
        </w:tc>
        <w:tc>
          <w:p>
            <w:pPr>
              <w:pStyle w:val="Compact"/>
              <w:jc w:val="right"/>
            </w:pPr>
            <w:r>
              <w:t xml:space="preserve">0.7071006</w:t>
            </w:r>
          </w:p>
        </w:tc>
      </w:tr>
    </w:tbl>
    <w:p>
      <w:pPr>
        <w:pStyle w:val="BodyText"/>
      </w:pPr>
      <w:r>
        <w:t xml:space="preserve">And here is for core: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0.2031250</w:t>
            </w:r>
          </w:p>
        </w:tc>
        <w:tc>
          <w:p>
            <w:pPr>
              <w:pStyle w:val="Compact"/>
              <w:jc w:val="right"/>
            </w:pPr>
            <w:r>
              <w:t xml:space="preserve">0.7968750</w:t>
            </w:r>
          </w:p>
        </w:tc>
      </w:tr>
      <w:tr>
        <w:tc>
          <w:p>
            <w:pPr>
              <w:pStyle w:val="Compact"/>
              <w:jc w:val="left"/>
            </w:pPr>
            <w:r>
              <w:t xml:space="preserve">energy</w:t>
            </w:r>
          </w:p>
        </w:tc>
        <w:tc>
          <w:p>
            <w:pPr>
              <w:pStyle w:val="Compact"/>
              <w:jc w:val="right"/>
            </w:pPr>
            <w:r>
              <w:t xml:space="preserve">0.2186589</w:t>
            </w:r>
          </w:p>
        </w:tc>
        <w:tc>
          <w:p>
            <w:pPr>
              <w:pStyle w:val="Compact"/>
              <w:jc w:val="right"/>
            </w:pPr>
            <w:r>
              <w:t xml:space="preserve">0.7813411</w:t>
            </w:r>
          </w:p>
        </w:tc>
      </w:tr>
    </w:tbl>
    <w:p>
      <w:pPr>
        <w:pStyle w:val="BodyText"/>
      </w:pPr>
      <w:r>
        <w:t xml:space="preserve">The skew towards decreases in abundance is slightly more pronounced for core than for</w:t>
      </w:r>
      <w:r>
        <w:t xml:space="preserve"> </w:t>
      </w:r>
      <w:r>
        <w:t xml:space="preserve">“</w:t>
      </w:r>
      <w:r>
        <w:t xml:space="preserve">all</w:t>
      </w:r>
      <w:r>
        <w:t xml:space="preserve">”</w:t>
      </w:r>
      <w:r>
        <w:t xml:space="preserve"> </w:t>
      </w:r>
      <w:r>
        <w:t xml:space="preserve">species.</w:t>
      </w:r>
    </w:p>
    <w:p>
      <w:pPr>
        <w:pStyle w:val="BodyText"/>
      </w:pPr>
      <w:r>
        <w:t xml:space="preserve">Looking at the currency offsets, again here is</w:t>
      </w:r>
      <w:r>
        <w:t xml:space="preserve"> </w:t>
      </w:r>
      <w:r>
        <w:t xml:space="preserve">“</w:t>
      </w:r>
      <w:r>
        <w:t xml:space="preserve">all species</w:t>
      </w:r>
      <w:r>
        <w:t xml:space="preserve">”</w:t>
      </w:r>
      <w:r>
        <w:t xml:space="preserve"> </w:t>
      </w:r>
      <w:r>
        <w:t xml:space="preserve">for comparison:</w:t>
      </w:r>
    </w:p>
    <w:tbl>
      <w:tblPr>
        <w:tblStyle w:val="Table"/>
        <w:tblW w:type="pct" w:w="5000.0"/>
        <w:tblLook w:firstRow="1"/>
      </w:tblPr>
      <w:tblGrid>
        <w:gridCol w:w="828"/>
        <w:gridCol w:w="2670"/>
        <w:gridCol w:w="2670"/>
        <w:gridCol w:w="174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percent_currency_above_abund</w:t>
            </w:r>
          </w:p>
        </w:tc>
        <w:tc>
          <w:tcPr>
            <w:tcBorders>
              <w:bottom w:val="single"/>
            </w:tcBorders>
            <w:vAlign w:val="bottom"/>
          </w:tcPr>
          <w:p>
            <w:pPr>
              <w:pStyle w:val="Compact"/>
              <w:jc w:val="right"/>
            </w:pPr>
            <w:r>
              <w:t xml:space="preserve">percent_currency_below_abund</w:t>
            </w:r>
          </w:p>
        </w:tc>
        <w:tc>
          <w:tcPr>
            <w:tcBorders>
              <w:bottom w:val="single"/>
            </w:tcBorders>
            <w:vAlign w:val="bottom"/>
          </w:tcPr>
          <w:p>
            <w:pPr>
              <w:pStyle w:val="Compact"/>
              <w:jc w:val="right"/>
            </w:pPr>
            <w:r>
              <w:t xml:space="preserve">n_with_interaction</w:t>
            </w:r>
          </w:p>
        </w:tc>
      </w:tr>
      <w:tr>
        <w:tc>
          <w:p>
            <w:pPr>
              <w:pStyle w:val="Compact"/>
              <w:jc w:val="left"/>
            </w:pPr>
            <w:r>
              <w:t xml:space="preserve">biomass</w:t>
            </w:r>
          </w:p>
        </w:tc>
        <w:tc>
          <w:p>
            <w:pPr>
              <w:pStyle w:val="Compact"/>
              <w:jc w:val="right"/>
            </w:pPr>
            <w:r>
              <w:t xml:space="preserve">0.8033708</w:t>
            </w:r>
          </w:p>
        </w:tc>
        <w:tc>
          <w:p>
            <w:pPr>
              <w:pStyle w:val="Compact"/>
              <w:jc w:val="right"/>
            </w:pPr>
            <w:r>
              <w:t xml:space="preserve">0.1966292</w:t>
            </w:r>
          </w:p>
        </w:tc>
        <w:tc>
          <w:p>
            <w:pPr>
              <w:pStyle w:val="Compact"/>
              <w:jc w:val="right"/>
            </w:pPr>
            <w:r>
              <w:t xml:space="preserve">178</w:t>
            </w:r>
          </w:p>
        </w:tc>
      </w:tr>
      <w:tr>
        <w:tc>
          <w:p>
            <w:pPr>
              <w:pStyle w:val="Compact"/>
              <w:jc w:val="left"/>
            </w:pPr>
            <w:r>
              <w:t xml:space="preserve">energy</w:t>
            </w:r>
          </w:p>
        </w:tc>
        <w:tc>
          <w:p>
            <w:pPr>
              <w:pStyle w:val="Compact"/>
              <w:jc w:val="right"/>
            </w:pPr>
            <w:r>
              <w:t xml:space="preserve">0.7500000</w:t>
            </w:r>
          </w:p>
        </w:tc>
        <w:tc>
          <w:p>
            <w:pPr>
              <w:pStyle w:val="Compact"/>
              <w:jc w:val="right"/>
            </w:pPr>
            <w:r>
              <w:t xml:space="preserve">0.2368421</w:t>
            </w:r>
          </w:p>
        </w:tc>
        <w:tc>
          <w:p>
            <w:pPr>
              <w:pStyle w:val="Compact"/>
              <w:jc w:val="right"/>
            </w:pPr>
            <w:r>
              <w:t xml:space="preserve">76</w:t>
            </w:r>
          </w:p>
        </w:tc>
      </w:tr>
    </w:tbl>
    <w:p>
      <w:pPr>
        <w:pStyle w:val="BodyText"/>
      </w:pPr>
      <w:r>
        <w:t xml:space="preserve">And just for core:</w:t>
      </w:r>
    </w:p>
    <w:tbl>
      <w:tblPr>
        <w:tblStyle w:val="Table"/>
        <w:tblW w:type="pct" w:w="5000.0"/>
        <w:tblLook w:firstRow="1"/>
      </w:tblPr>
      <w:tblGrid>
        <w:gridCol w:w="1046"/>
        <w:gridCol w:w="2540"/>
        <w:gridCol w:w="2540"/>
        <w:gridCol w:w="1793"/>
      </w:tblGrid>
      <w:tr>
        <w:trPr>
          <w:cnfStyle w:firstRow="1"/>
        </w:trPr>
        <w:tc>
          <w:tcPr>
            <w:tcBorders>
              <w:bottom w:val="single"/>
            </w:tcBorders>
            <w:vAlign w:val="bottom"/>
          </w:tcPr>
          <w:p>
            <w:pPr>
              <w:pStyle w:val="Compact"/>
              <w:jc w:val="left"/>
            </w:pPr>
            <w:r>
              <w:t xml:space="preserve">currency_core</w:t>
            </w:r>
          </w:p>
        </w:tc>
        <w:tc>
          <w:tcPr>
            <w:tcBorders>
              <w:bottom w:val="single"/>
            </w:tcBorders>
            <w:vAlign w:val="bottom"/>
          </w:tcPr>
          <w:p>
            <w:pPr>
              <w:pStyle w:val="Compact"/>
              <w:jc w:val="right"/>
            </w:pPr>
            <w:r>
              <w:t xml:space="preserve">percent_currency_above_abund_core</w:t>
            </w:r>
          </w:p>
        </w:tc>
        <w:tc>
          <w:tcPr>
            <w:tcBorders>
              <w:bottom w:val="single"/>
            </w:tcBorders>
            <w:vAlign w:val="bottom"/>
          </w:tcPr>
          <w:p>
            <w:pPr>
              <w:pStyle w:val="Compact"/>
              <w:jc w:val="right"/>
            </w:pPr>
            <w:r>
              <w:t xml:space="preserve">percent_currency_below_abund_core</w:t>
            </w:r>
          </w:p>
        </w:tc>
        <w:tc>
          <w:tcPr>
            <w:tcBorders>
              <w:bottom w:val="single"/>
            </w:tcBorders>
            <w:vAlign w:val="bottom"/>
          </w:tcPr>
          <w:p>
            <w:pPr>
              <w:pStyle w:val="Compact"/>
              <w:jc w:val="right"/>
            </w:pPr>
            <w:r>
              <w:t xml:space="preserve">n_with_interaction_core</w:t>
            </w:r>
          </w:p>
        </w:tc>
      </w:tr>
      <w:tr>
        <w:tc>
          <w:p>
            <w:pPr>
              <w:pStyle w:val="Compact"/>
              <w:jc w:val="left"/>
            </w:pPr>
            <w:r>
              <w:t xml:space="preserve">biomass</w:t>
            </w:r>
          </w:p>
        </w:tc>
        <w:tc>
          <w:p>
            <w:pPr>
              <w:pStyle w:val="Compact"/>
              <w:jc w:val="right"/>
            </w:pPr>
            <w:r>
              <w:t xml:space="preserve">0.4255319</w:t>
            </w:r>
          </w:p>
        </w:tc>
        <w:tc>
          <w:p>
            <w:pPr>
              <w:pStyle w:val="Compact"/>
              <w:jc w:val="right"/>
            </w:pPr>
            <w:r>
              <w:t xml:space="preserve">0.5319149</w:t>
            </w:r>
          </w:p>
        </w:tc>
        <w:tc>
          <w:p>
            <w:pPr>
              <w:pStyle w:val="Compact"/>
              <w:jc w:val="right"/>
            </w:pPr>
            <w:r>
              <w:t xml:space="preserve">94</w:t>
            </w:r>
          </w:p>
        </w:tc>
      </w:tr>
      <w:tr>
        <w:tc>
          <w:p>
            <w:pPr>
              <w:pStyle w:val="Compact"/>
              <w:jc w:val="left"/>
            </w:pPr>
            <w:r>
              <w:t xml:space="preserve">energy</w:t>
            </w:r>
          </w:p>
        </w:tc>
        <w:tc>
          <w:p>
            <w:pPr>
              <w:pStyle w:val="Compact"/>
              <w:jc w:val="right"/>
            </w:pPr>
            <w:r>
              <w:t xml:space="preserve">0.4117647</w:t>
            </w:r>
          </w:p>
        </w:tc>
        <w:tc>
          <w:p>
            <w:pPr>
              <w:pStyle w:val="Compact"/>
              <w:jc w:val="right"/>
            </w:pPr>
            <w:r>
              <w:t xml:space="preserve">0.5490196</w:t>
            </w:r>
          </w:p>
        </w:tc>
        <w:tc>
          <w:p>
            <w:pPr>
              <w:pStyle w:val="Compact"/>
              <w:jc w:val="right"/>
            </w:pPr>
            <w:r>
              <w:t xml:space="preserve">51</w:t>
            </w:r>
          </w:p>
        </w:tc>
      </w:tr>
    </w:tbl>
    <w:p>
      <w:pPr>
        <w:pStyle w:val="BodyText"/>
      </w:pPr>
      <w:r>
        <w:rPr>
          <w:b/>
        </w:rPr>
        <w:t xml:space="preserve">Restricted to core species, the decoupling is balanced above and below abundance</w:t>
      </w:r>
      <w:r>
        <w:t xml:space="preserve">. It is changes in transient (and</w:t>
      </w:r>
      <w:r>
        <w:t xml:space="preserve"> </w:t>
      </w:r>
      <w:r>
        <w:t xml:space="preserve">“</w:t>
      </w:r>
      <w:r>
        <w:t xml:space="preserve">intermediate</w:t>
      </w:r>
      <w:r>
        <w:t xml:space="preserve">”</w:t>
      </w:r>
      <w:r>
        <w:t xml:space="preserve">) species’ effects on the size structure that drive the skew towards increases in body size producing less-negative slopes for energy/biomass than what would happen just because of abundance.</w:t>
      </w:r>
    </w:p>
    <w:p>
      <w:r>
        <w:br w:type="page"/>
      </w:r>
    </w:p>
    <w:p>
      <w:pPr>
        <w:pStyle w:val="Heading1"/>
      </w:pPr>
      <w:bookmarkStart w:id="60" w:name="discussion"/>
      <w:r>
        <w:t xml:space="preserve">Discussion</w:t>
      </w:r>
      <w:bookmarkEnd w:id="60"/>
    </w:p>
    <w:p>
      <w:pPr>
        <w:pStyle w:val="Heading2"/>
      </w:pPr>
      <w:bookmarkStart w:id="61" w:name="results-interpretation"/>
      <w:r>
        <w:t xml:space="preserve">Results interpretation</w:t>
      </w:r>
      <w:bookmarkEnd w:id="61"/>
    </w:p>
    <w:p>
      <w:pPr>
        <w:pStyle w:val="Compact"/>
        <w:numPr>
          <w:numId w:val="1004"/>
          <w:ilvl w:val="0"/>
        </w:numPr>
      </w:pPr>
      <w:r>
        <w:t xml:space="preserve">While changes in size-based currencies usually scale with abundance, in a substantial minority of instances they do not. Meaning, there has been directional shift in the size structure that changes the outcome for function vs abundance.</w:t>
      </w:r>
    </w:p>
    <w:p>
      <w:pPr>
        <w:pStyle w:val="Compact"/>
        <w:numPr>
          <w:numId w:val="1005"/>
          <w:ilvl w:val="1"/>
        </w:numPr>
      </w:pPr>
      <w:r>
        <w:t xml:space="preserve">This means we should extrapolate from</w:t>
      </w:r>
      <w:r>
        <w:t xml:space="preserve"> </w:t>
      </w:r>
      <w:r>
        <w:t xml:space="preserve">“</w:t>
      </w:r>
      <w:r>
        <w:t xml:space="preserve">abundance</w:t>
      </w:r>
      <w:r>
        <w:t xml:space="preserve">”</w:t>
      </w:r>
      <w:r>
        <w:t xml:space="preserve"> </w:t>
      </w:r>
      <w:r>
        <w:t xml:space="preserve">to</w:t>
      </w:r>
      <w:r>
        <w:t xml:space="preserve"> </w:t>
      </w:r>
      <w:r>
        <w:t xml:space="preserve">“</w:t>
      </w:r>
      <w:r>
        <w:t xml:space="preserve">function</w:t>
      </w:r>
      <w:r>
        <w:t xml:space="preserve">”</w:t>
      </w:r>
      <w:r>
        <w:t xml:space="preserve"> </w:t>
      </w:r>
      <w:r>
        <w:t xml:space="preserve">with some care.</w:t>
      </w:r>
    </w:p>
    <w:p>
      <w:pPr>
        <w:pStyle w:val="Compact"/>
        <w:numPr>
          <w:numId w:val="1005"/>
          <w:ilvl w:val="1"/>
        </w:numPr>
      </w:pPr>
      <w:r>
        <w:t xml:space="preserve">And when these strong size shifts occur, it is also a prompt to dig deeper into what’s going on in that system.</w:t>
      </w:r>
    </w:p>
    <w:p>
      <w:pPr>
        <w:pStyle w:val="Compact"/>
        <w:numPr>
          <w:numId w:val="1004"/>
          <w:ilvl w:val="0"/>
        </w:numPr>
      </w:pPr>
      <w:r>
        <w:t xml:space="preserve">When they diverge, it is usually in the direction of less-negative-change. Because abundance is usually decreasing, this is generally partially offsetting the decline in energy use/biomass that would be expected just given abundance.</w:t>
      </w:r>
    </w:p>
    <w:p>
      <w:pPr>
        <w:pStyle w:val="Compact"/>
        <w:numPr>
          <w:numId w:val="1006"/>
          <w:ilvl w:val="1"/>
        </w:numPr>
      </w:pPr>
      <w:r>
        <w:t xml:space="preserve">This contrasts with general in-the-ether concerns about size-biased declines disproportionately affecting large species. However, the increase in body size is consistent with other observations specific to BBS, possibly reflecting forests in recovery across North America.</w:t>
      </w:r>
    </w:p>
    <w:p>
      <w:pPr>
        <w:pStyle w:val="Compact"/>
        <w:numPr>
          <w:numId w:val="1006"/>
          <w:ilvl w:val="1"/>
        </w:numPr>
      </w:pPr>
      <w:r>
        <w:t xml:space="preserve">This skew towards an increase-in-size appears to be driven by the contributions of transient and intermediate species. Transients may be tracking different environmental cues than core species.</w:t>
      </w:r>
    </w:p>
    <w:p>
      <w:pPr>
        <w:pStyle w:val="Compact"/>
        <w:numPr>
          <w:numId w:val="1004"/>
          <w:ilvl w:val="0"/>
        </w:numPr>
      </w:pPr>
      <w:r>
        <w:t xml:space="preserve">An absence of decoupling does not imply an absence of change in the ISD. Systems without a decoupling do not have more static ISDs than systems with a decoupling - it’s just that the change is not strongly skewed towards an increase or decrease.</w:t>
      </w:r>
    </w:p>
    <w:p>
      <w:pPr>
        <w:pStyle w:val="Heading2"/>
      </w:pPr>
      <w:bookmarkStart w:id="62" w:name="considerations-beyond-the-scope"/>
      <w:r>
        <w:t xml:space="preserve">Considerations beyond the scope</w:t>
      </w:r>
      <w:bookmarkEnd w:id="62"/>
    </w:p>
    <w:p>
      <w:pPr>
        <w:pStyle w:val="Compact"/>
        <w:numPr>
          <w:numId w:val="1007"/>
          <w:ilvl w:val="0"/>
        </w:numPr>
      </w:pPr>
      <w:r>
        <w:t xml:space="preserve">Diagnosing process</w:t>
      </w:r>
    </w:p>
    <w:p>
      <w:pPr>
        <w:pStyle w:val="Compact"/>
        <w:numPr>
          <w:numId w:val="1008"/>
          <w:ilvl w:val="1"/>
        </w:numPr>
      </w:pPr>
      <w:r>
        <w:t xml:space="preserve">Attributing change in the size structure to species’ dynamics</w:t>
      </w:r>
    </w:p>
    <w:p>
      <w:pPr>
        <w:pStyle w:val="Compact"/>
        <w:numPr>
          <w:numId w:val="1009"/>
          <w:ilvl w:val="2"/>
        </w:numPr>
      </w:pPr>
      <w:r>
        <w:t xml:space="preserve">Why do the results for core v. all species differ?</w:t>
      </w:r>
    </w:p>
    <w:p>
      <w:pPr>
        <w:pStyle w:val="Compact"/>
        <w:numPr>
          <w:numId w:val="1009"/>
          <w:ilvl w:val="2"/>
        </w:numPr>
      </w:pPr>
      <w:r>
        <w:t xml:space="preserve">Is it the same species continent-wide accounting for shifts or does it vary geographically?</w:t>
      </w:r>
    </w:p>
    <w:p>
      <w:pPr>
        <w:pStyle w:val="Compact"/>
        <w:numPr>
          <w:numId w:val="1009"/>
          <w:ilvl w:val="2"/>
        </w:numPr>
      </w:pPr>
      <w:r>
        <w:t xml:space="preserve">Do shifts in the size structure map onto changes in land use? ETC.</w:t>
      </w:r>
    </w:p>
    <w:p>
      <w:pPr>
        <w:pStyle w:val="Compact"/>
        <w:numPr>
          <w:numId w:val="1008"/>
          <w:ilvl w:val="1"/>
        </w:numPr>
      </w:pPr>
      <w:r>
        <w:t xml:space="preserve">Disentangling process-driven shifts from drift.</w:t>
      </w:r>
    </w:p>
    <w:p>
      <w:pPr>
        <w:pStyle w:val="Compact"/>
        <w:numPr>
          <w:numId w:val="1010"/>
          <w:ilvl w:val="2"/>
        </w:numPr>
      </w:pPr>
      <w:r>
        <w:t xml:space="preserve">Null models at this scale are severely constrained in what they can tell us.</w:t>
      </w:r>
    </w:p>
    <w:p>
      <w:pPr>
        <w:pStyle w:val="Compact"/>
        <w:numPr>
          <w:numId w:val="1011"/>
          <w:ilvl w:val="3"/>
        </w:numPr>
      </w:pPr>
      <w:r>
        <w:t xml:space="preserve">A lot of the dynamics of change are baked into population sizes. There is not support to fit a neutral population dynamics model for BBS, so we have to take them as face-value constraints on dynamics. These strongly constrain the null models and limit the scope of what we can test using a null model.</w:t>
      </w:r>
    </w:p>
    <w:p>
      <w:pPr>
        <w:pStyle w:val="Compact"/>
        <w:numPr>
          <w:numId w:val="1011"/>
          <w:ilvl w:val="3"/>
        </w:numPr>
      </w:pPr>
      <w:r>
        <w:t xml:space="preserve">Highly-constrained null models for distinguishing process-driven vs drift in functional vs. taxonomic turnover tend to have a high type II error rate. When I have tested for ISDs, you need to have</w:t>
      </w:r>
      <w:r>
        <w:t xml:space="preserve"> </w:t>
      </w:r>
      <w:r>
        <w:t xml:space="preserve">“</w:t>
      </w:r>
      <w:r>
        <w:t xml:space="preserve">pure</w:t>
      </w:r>
      <w:r>
        <w:t xml:space="preserve">”</w:t>
      </w:r>
      <w:r>
        <w:t xml:space="preserve"> </w:t>
      </w:r>
      <w:r>
        <w:t xml:space="preserve">change (all the change in the ISD is towards an increase in body size, or all the change in the ISD is like-for-like size structured replacement) in order to deviate from the null model.</w:t>
      </w:r>
    </w:p>
    <w:p>
      <w:pPr>
        <w:pStyle w:val="Compact"/>
        <w:numPr>
          <w:numId w:val="1010"/>
          <w:ilvl w:val="2"/>
        </w:numPr>
      </w:pPr>
      <w:r>
        <w:t xml:space="preserve">That said, I don’t generally find deviations from null models in these results (although I am not sure because the computational requirements are too great to run this very many times).</w:t>
      </w:r>
    </w:p>
    <w:p>
      <w:pPr>
        <w:pStyle w:val="Compact"/>
        <w:numPr>
          <w:numId w:val="1010"/>
          <w:ilvl w:val="2"/>
        </w:numPr>
      </w:pPr>
      <w:r>
        <w:t xml:space="preserve">Rather than trying to distinguish process-driven from random change at the continental scale, I therefore suggest using these dynamics to guide more focused investigations at the route level.</w:t>
      </w:r>
    </w:p>
    <w:p>
      <w:pPr>
        <w:pStyle w:val="Compact"/>
        <w:numPr>
          <w:numId w:val="1007"/>
          <w:ilvl w:val="0"/>
        </w:numPr>
      </w:pPr>
      <w:r>
        <w:t xml:space="preserve">Extrapolating beyond BBS</w:t>
      </w:r>
    </w:p>
    <w:p>
      <w:pPr>
        <w:pStyle w:val="Compact"/>
        <w:numPr>
          <w:numId w:val="1012"/>
          <w:ilvl w:val="1"/>
        </w:numPr>
      </w:pPr>
      <w:r>
        <w:t xml:space="preserve">BBS routes may not be represntative of biodiversity change for other taxa or (especially) globally</w:t>
      </w:r>
    </w:p>
    <w:p>
      <w:pPr>
        <w:pStyle w:val="Compact"/>
        <w:numPr>
          <w:numId w:val="1007"/>
          <w:ilvl w:val="0"/>
        </w:numPr>
      </w:pPr>
      <w:r>
        <w:t xml:space="preserve">The current method cannot account for</w:t>
      </w:r>
      <w:r>
        <w:t xml:space="preserve"> </w:t>
      </w:r>
      <w:r>
        <w:rPr>
          <w:b/>
        </w:rPr>
        <w:t xml:space="preserve">intraspecific</w:t>
      </w:r>
      <w:r>
        <w:t xml:space="preserve"> </w:t>
      </w:r>
      <w:r>
        <w:t xml:space="preserve">size variation over time or space, which may be important.</w:t>
      </w:r>
    </w:p>
    <w:p>
      <w:pPr>
        <w:pStyle w:val="Heading2"/>
      </w:pPr>
      <w:bookmarkStart w:id="63" w:name="wider-significance"/>
      <w:r>
        <w:t xml:space="preserve">Wider significance</w:t>
      </w:r>
      <w:bookmarkEnd w:id="63"/>
    </w:p>
    <w:p>
      <w:pPr>
        <w:pStyle w:val="Compact"/>
        <w:numPr>
          <w:numId w:val="1013"/>
          <w:ilvl w:val="0"/>
        </w:numPr>
      </w:pPr>
      <w:r>
        <w:t xml:space="preserve">The interrelated dynamics of the size structure, total abundance, and community function have a rich history in aquatic and tree systems. This study is a first step towards translating this approach to terrestrial animal systems.</w:t>
      </w:r>
    </w:p>
    <w:p>
      <w:pPr>
        <w:pStyle w:val="Compact"/>
        <w:numPr>
          <w:numId w:val="1013"/>
          <w:ilvl w:val="0"/>
        </w:numPr>
      </w:pPr>
      <w:r>
        <w:t xml:space="preserve">We show that terrestrial animal ISDs change over time, and that these changes can have significant cascading effects on the scaling between abundance and size-based measures of function.</w:t>
      </w:r>
    </w:p>
    <w:p>
      <w:pPr>
        <w:pStyle w:val="Compact"/>
        <w:numPr>
          <w:numId w:val="1013"/>
          <w:ilvl w:val="0"/>
        </w:numPr>
      </w:pPr>
      <w:r>
        <w:t xml:space="preserve">Incorporating the ISD is important to fully characterize biodiversity change, especially in the Anthropocene.</w:t>
      </w:r>
    </w:p>
    <w:p>
      <w:pPr>
        <w:pStyle w:val="Compact"/>
        <w:numPr>
          <w:numId w:val="1013"/>
          <w:ilvl w:val="0"/>
        </w:numPr>
      </w:pPr>
      <w:r>
        <w:t xml:space="preserve">Our study provides the motivation and a quantitative approach for studying these dynamics, which can be applied either in greater depth (to understand the processes driving change in specific communities) or in novel taxonomic or geographic contexts (e.g. mammals, birds beyond BBS).</w:t>
      </w:r>
    </w:p>
    <w:p>
      <w:pPr>
        <w:pStyle w:val="Compact"/>
        <w:numPr>
          <w:numId w:val="1013"/>
          <w:ilvl w:val="0"/>
        </w:numPr>
      </w:pPr>
      <w:r>
        <w:t xml:space="preserve">We hope that this can launch a new chapter of research on the size spectrum and its relation to community function in terrestrial systems.</w:t>
      </w:r>
    </w:p>
    <w:p>
      <w:r>
        <w:br w:type="page"/>
      </w:r>
    </w:p>
    <w:p>
      <w:pPr>
        <w:pStyle w:val="Heading1"/>
      </w:pPr>
      <w:bookmarkStart w:id="64" w:name="references"/>
      <w:r>
        <w:t xml:space="preserve">References</w:t>
      </w:r>
      <w:bookmarkEnd w:id="64"/>
    </w:p>
    <w:bookmarkStart w:id="98" w:name="refs"/>
    <w:bookmarkStart w:id="65" w:name="ref-bahlai2021"/>
    <w:p>
      <w:pPr>
        <w:pStyle w:val="Bibliography"/>
      </w:pPr>
      <w:r>
        <w:t xml:space="preserve">Bahlai, C. A., E. R. White, J. D. Perrone, S. Cusser, and K. Stack Whitney. 2021. The broken window: An algorithm for quantifying and characterizing misleading trajectories in ecological processes. Ecological Informatics 64:101336.</w:t>
      </w:r>
    </w:p>
    <w:bookmarkEnd w:id="65"/>
    <w:bookmarkStart w:id="66" w:name="ref-connolly2005"/>
    <w:p>
      <w:pPr>
        <w:pStyle w:val="Bibliography"/>
      </w:pPr>
      <w:r>
        <w:t xml:space="preserve">Connolly, S. R., T. P. Hughes, D. R. Bellwood, and R. H. Karlson. 2005. Community Structure of Corals and Reef Fishes at Multiple Scales. Science 309:1363–1365.</w:t>
      </w:r>
    </w:p>
    <w:bookmarkEnd w:id="66"/>
    <w:bookmarkStart w:id="67"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67"/>
    <w:bookmarkStart w:id="68"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68"/>
    <w:bookmarkStart w:id="69" w:name="ref-dornelas2011"/>
    <w:p>
      <w:pPr>
        <w:pStyle w:val="Bibliography"/>
      </w:pPr>
      <w:r>
        <w:t xml:space="preserve">Dornelas, M., D. A. T. Phillip, and A. E. Magurran. 2011. Abundance and dominance become less predictable as species richness decreases. Global Ecology and Biogeography 20:832–841.</w:t>
      </w:r>
    </w:p>
    <w:bookmarkEnd w:id="69"/>
    <w:bookmarkStart w:id="70" w:name="ref-ernest2005"/>
    <w:p>
      <w:pPr>
        <w:pStyle w:val="Bibliography"/>
      </w:pPr>
      <w:r>
        <w:t xml:space="preserve">Ernest, S. K. M. 2005. Body size, energy use, and community structure of small mammals. Ecology 86:1407–1413.</w:t>
      </w:r>
    </w:p>
    <w:bookmarkEnd w:id="70"/>
    <w:bookmarkStart w:id="71" w:name="ref-ernest2009"/>
    <w:p>
      <w:pPr>
        <w:pStyle w:val="Bibliography"/>
      </w:pPr>
      <w:r>
        <w:t xml:space="preserve">Ernest, S. K. M., E. P. White, and J. H. Brown. 2009. Changes in a tropical forest support metabolic zero-sum dynamics. Ecology Letters 12:507–515.</w:t>
      </w:r>
    </w:p>
    <w:bookmarkEnd w:id="71"/>
    <w:bookmarkStart w:id="72" w:name="ref-fisher2010"/>
    <w:p>
      <w:pPr>
        <w:pStyle w:val="Bibliography"/>
      </w:pPr>
      <w:r>
        <w:t xml:space="preserve">Fisher, J. A. D., K. T. Frank, and W. C. Leggett. 2010. Dynamic macroecology on ecological time-scales. Global Ecology and Biogeography 19:1–15.</w:t>
      </w:r>
    </w:p>
    <w:bookmarkEnd w:id="72"/>
    <w:bookmarkStart w:id="73" w:name="ref-fristoe2015"/>
    <w:p>
      <w:pPr>
        <w:pStyle w:val="Bibliography"/>
      </w:pPr>
      <w:r>
        <w:t xml:space="preserve">Fristoe, T. S. 2015. Energy use by migrants and residents in North American breeding bird communities. Global Ecology and Biogeography 24:406–415.</w:t>
      </w:r>
    </w:p>
    <w:bookmarkEnd w:id="73"/>
    <w:bookmarkStart w:id="74" w:name="ref-gardner2011"/>
    <w:p>
      <w:pPr>
        <w:pStyle w:val="Bibliography"/>
      </w:pPr>
      <w:r>
        <w:t xml:space="preserve">Gardner, J. L., A. Peters, M. R. Kearney, L. Joseph, and R. Heinsohn. 2011. Declining body size: A third universal response to warming? Trends in Ecology &amp; Evolution 26:285–291.</w:t>
      </w:r>
    </w:p>
    <w:bookmarkEnd w:id="74"/>
    <w:bookmarkStart w:id="75" w:name="ref-gotelli2017"/>
    <w:p>
      <w:pPr>
        <w:pStyle w:val="Bibliography"/>
      </w:pPr>
      <w:r>
        <w:t xml:space="preserve">Gotelli, N. J., H. Shimadzu, M. Dornelas, B. McGill, F. Moyes, and A. E. Magurran. 2017. Community-level regulation of temporal trends in biodiversity. Science Advances 3:e1700315.</w:t>
      </w:r>
    </w:p>
    <w:bookmarkEnd w:id="75"/>
    <w:bookmarkStart w:id="76"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76"/>
    <w:bookmarkStart w:id="77"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77"/>
    <w:bookmarkStart w:id="78" w:name="ref-holling1992"/>
    <w:p>
      <w:pPr>
        <w:pStyle w:val="Bibliography"/>
      </w:pPr>
      <w:r>
        <w:t xml:space="preserve">Holling, C. S. 1992. Cross-Scale Morphology, Geometry, and Dynamics of Ecosystems. Ecological Monographs 62:447–502.</w:t>
      </w:r>
    </w:p>
    <w:bookmarkEnd w:id="78"/>
    <w:bookmarkStart w:id="79"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79"/>
    <w:bookmarkStart w:id="80" w:name="ref-kerr01"/>
    <w:p>
      <w:pPr>
        <w:pStyle w:val="Bibliography"/>
      </w:pPr>
      <w:r>
        <w:t xml:space="preserve">Kerr, S. R., and L. M. Dickie. 1AD. The Biomass Spectrum: A Predator-Prey Theory of Aquatic Production. Columbia University Press.</w:t>
      </w:r>
    </w:p>
    <w:bookmarkEnd w:id="80"/>
    <w:bookmarkStart w:id="81" w:name="ref-macgregor2019"/>
    <w:p>
      <w:pPr>
        <w:pStyle w:val="Bibliography"/>
      </w:pPr>
      <w:r>
        <w:t xml:space="preserve">Macgregor, C. J., J. H. Williams, J. R. Bell, and C. D. Thomas. 2019. Moth biomass increases and decreases over 50 years in Britain. Nature Ecology &amp; Evolution 3:1645–1649.</w:t>
      </w:r>
    </w:p>
    <w:bookmarkEnd w:id="81"/>
    <w:bookmarkStart w:id="82" w:name="ref-mcgill2015"/>
    <w:p>
      <w:pPr>
        <w:pStyle w:val="Bibliography"/>
      </w:pPr>
      <w:r>
        <w:t xml:space="preserve">McGill, B. J., M. Dornelas, N. J. Gotelli, and A. E. Magurran. 2015. Fifteen forms of biodiversity trend in the Anthropocene. Trends in Ecology &amp; Evolution 30:104–113.</w:t>
      </w:r>
    </w:p>
    <w:bookmarkEnd w:id="82"/>
    <w:bookmarkStart w:id="83"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83"/>
    <w:bookmarkStart w:id="84" w:name="ref-petchey2010"/>
    <w:p>
      <w:pPr>
        <w:pStyle w:val="Bibliography"/>
      </w:pPr>
      <w:r>
        <w:t xml:space="preserve">Petchey, O. L., and A. Belgrano. 2010. Body-size distributions and size-spectra: Universal indicators of ecological status? Biology Letters 6:434–437.</w:t>
      </w:r>
    </w:p>
    <w:bookmarkEnd w:id="84"/>
    <w:bookmarkStart w:id="85"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85"/>
    <w:bookmarkStart w:id="86" w:name="ref-sauer2013"/>
    <w:p>
      <w:pPr>
        <w:pStyle w:val="Bibliography"/>
      </w:pPr>
      <w:r>
        <w:t xml:space="preserve">Sauer, J. R., W. A. Link, J. E. Fallon, K. L. Pardieck, and D. J. Ziolkowski. 2013. The North American Breeding Bird Survey 1966–2011: Summary Analysis and Species Accounts. North American Fauna:1–32.</w:t>
      </w:r>
    </w:p>
    <w:bookmarkEnd w:id="86"/>
    <w:bookmarkStart w:id="87" w:name="ref-schmitz2018"/>
    <w:p>
      <w:pPr>
        <w:pStyle w:val="Bibliography"/>
      </w:pPr>
      <w:r>
        <w:t xml:space="preserve">Schmitz, O. J., C. C. Wilmers, S. J. Leroux, C. E. Doughty, T. B. Atwood, M. Galetti, A. B. Davies, and S. J. Goetz. 2018. Animals and the zoogeochemistry of the carbon cycle. Science.</w:t>
      </w:r>
    </w:p>
    <w:bookmarkEnd w:id="87"/>
    <w:bookmarkStart w:id="88" w:name="ref-smith2018"/>
    <w:p>
      <w:pPr>
        <w:pStyle w:val="Bibliography"/>
      </w:pPr>
      <w:r>
        <w:t xml:space="preserve">Smith, F. A., R. E. Elliott Smith, S. K. Lyons, and J. L. Payne. 2018. Body size downgrading of mammals over the late Quaternary. Science 360:310–313.</w:t>
      </w:r>
    </w:p>
    <w:bookmarkEnd w:id="88"/>
    <w:bookmarkStart w:id="89"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89"/>
    <w:bookmarkStart w:id="90" w:name="ref-thibault2011"/>
    <w:p>
      <w:pPr>
        <w:pStyle w:val="Bibliography"/>
      </w:pPr>
      <w:r>
        <w:t xml:space="preserve">Thibault, K. M., E. P. White, A. H. Hurlbert, and S. K. M. Ernest. 2011. Multimodality in the individual size distributions of bird communities. Global Ecology and Biogeography 20:145–153.</w:t>
      </w:r>
    </w:p>
    <w:bookmarkEnd w:id="90"/>
    <w:bookmarkStart w:id="91" w:name="ref-warwick1994"/>
    <w:p>
      <w:pPr>
        <w:pStyle w:val="Bibliography"/>
      </w:pPr>
      <w:r>
        <w:t xml:space="preserve">Warwick, R. M., and K. R. Clarke. 1994. Relearning the ABC: Taxonomic changes and abundance/biomass relationships in disturbed benthic communities. Marine Biology 118:739–744.</w:t>
      </w:r>
    </w:p>
    <w:bookmarkEnd w:id="91"/>
    <w:bookmarkStart w:id="92" w:name="ref-white2004a"/>
    <w:p>
      <w:pPr>
        <w:pStyle w:val="Bibliography"/>
      </w:pPr>
      <w:r>
        <w:t xml:space="preserve">White, E. P. 2004. Two-phase species–time relationships in North American land birds. Ecology Letters 7:329–336.</w:t>
      </w:r>
    </w:p>
    <w:bookmarkEnd w:id="92"/>
    <w:bookmarkStart w:id="93" w:name="ref-white2007"/>
    <w:p>
      <w:pPr>
        <w:pStyle w:val="Bibliography"/>
      </w:pPr>
      <w:r>
        <w:t xml:space="preserve">White, E. P., S. K. M. Ernest, A. J. Kerkhoff, and B. J. Enquist. 2007. Relationships between body size and abundance in ecology. Trends in Ecology &amp; Evolution 22:323–330.</w:t>
      </w:r>
    </w:p>
    <w:bookmarkEnd w:id="93"/>
    <w:bookmarkStart w:id="94" w:name="ref-white2004"/>
    <w:p>
      <w:pPr>
        <w:pStyle w:val="Bibliography"/>
      </w:pPr>
      <w:r>
        <w:t xml:space="preserve">White, E. P., S. K. M. Ernest, and K. M. Thibault. 2004. Trade‐offs in Community Properties through Time in a Desert Rodent Community. The American Naturalist 164:670–676.</w:t>
      </w:r>
    </w:p>
    <w:bookmarkEnd w:id="94"/>
    <w:bookmarkStart w:id="95" w:name="ref-ye2020"/>
    <w:p>
      <w:pPr>
        <w:pStyle w:val="Bibliography"/>
      </w:pPr>
      <w:r>
        <w:t xml:space="preserve">Ye, H., E. K. Bledsoe, R. Diaz, S. K. M. Ernest, J. L. Simonis, E. P. White, and G. M. Yenni. 2020, May. Macroecological Analyses of Time Series Structure. Zenodo.</w:t>
      </w:r>
    </w:p>
    <w:bookmarkEnd w:id="95"/>
    <w:bookmarkStart w:id="96"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96"/>
    <w:bookmarkStart w:id="97" w:name="ref-young2016"/>
    <w:p>
      <w:pPr>
        <w:pStyle w:val="Bibliography"/>
      </w:pPr>
      <w:r>
        <w:t xml:space="preserve">Young, H. S., D. J. McCauley, M. Galetti, and R. Dirzo. 2016. Patterns, Causes, and Consequences of Anthropocene Defaunation. Annual Review of Ecology, Evolution, and Systematics 47:333–358.</w:t>
      </w:r>
    </w:p>
    <w:bookmarkEnd w:id="97"/>
    <w:bookmarkEnd w:id="98"/>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2021-11-17T19:04:32Z</dcterms:created>
  <dcterms:modified xsi:type="dcterms:W3CDTF">2021-11-17T19:04:32Z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