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Compact"/>
        <w:numPr>
          <w:numId w:val="1001"/>
          <w:ilvl w:val="0"/>
        </w:numPr>
      </w:pPr>
      <w:r>
        <w:t xml:space="preserve">Understanding the interrelated dynamics of size- and -abundance based dimensions of biodiversity is key to understanding biodiversity change in the Anthropocene.</w:t>
      </w:r>
    </w:p>
    <w:p>
      <w:pPr>
        <w:pStyle w:val="Compact"/>
        <w:numPr>
          <w:numId w:val="1002"/>
          <w:ilvl w:val="1"/>
        </w:numPr>
      </w:pPr>
      <w:r>
        <w:t xml:space="preserve">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w:t>
      </w:r>
    </w:p>
    <w:p>
      <w:pPr>
        <w:pStyle w:val="Compact"/>
        <w:numPr>
          <w:numId w:val="1002"/>
          <w:ilvl w:val="1"/>
        </w:numPr>
      </w:pPr>
      <w:r>
        <w:t xml:space="preserve">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p>
    <w:p>
      <w:pPr>
        <w:pStyle w:val="Compact"/>
        <w:numPr>
          <w:numId w:val="1002"/>
          <w:ilvl w:val="1"/>
        </w:numPr>
      </w:pPr>
      <w:r>
        <w:t xml:space="preserve">While these currencies are naturally linked</w:t>
      </w:r>
      <w:r>
        <w:t xml:space="preserve"> </w:t>
      </w:r>
      <w:r>
        <w:t xml:space="preserve">(Ernest et al. 2009, Morlon et al. 2009), changes in size composition can decouple the dynamics of one currency from another (</w:t>
      </w:r>
      <w:r>
        <w:t xml:space="preserve">@dornelas2011</w:t>
      </w:r>
      <w:r>
        <w:t xml:space="preserve">, White et al. 2004, 2007, Henderson and Magurran 2010, Yen et al. 2017)</w:t>
      </w:r>
      <w:r>
        <w:t xml:space="preserve">.</w:t>
      </w:r>
    </w:p>
    <w:p>
      <w:pPr>
        <w:pStyle w:val="Compact"/>
        <w:numPr>
          <w:numId w:val="1002"/>
          <w:ilvl w:val="1"/>
        </w:numPr>
      </w:pPr>
      <w:r>
        <w:t xml:space="preserve">This can mean that intuition from one currency may be misleading about others; a trend in numerical abundance might mask something else going on with biomass</w:t>
      </w:r>
      <w:r>
        <w:t xml:space="preserve"> </w:t>
      </w:r>
      <w:r>
        <w:t xml:space="preserve">(White et al. 2004)</w:t>
      </w:r>
      <w:r>
        <w:t xml:space="preserve">.</w:t>
      </w:r>
    </w:p>
    <w:p>
      <w:pPr>
        <w:pStyle w:val="Compact"/>
        <w:numPr>
          <w:numId w:val="1002"/>
          <w:ilvl w:val="1"/>
        </w:numPr>
      </w:pPr>
      <w:r>
        <w:t xml:space="preserve">Changes in size composition strong enough to decouple currencies may be symptomatic of important changes in ecosystem status</w:t>
      </w:r>
    </w:p>
    <w:p>
      <w:pPr>
        <w:pStyle w:val="Compact"/>
        <w:numPr>
          <w:numId w:val="1003"/>
          <w:ilvl w:val="2"/>
        </w:numPr>
      </w:pPr>
      <w:r>
        <w:t xml:space="preserve">E.g. abundance-biomass comparison curves</w:t>
      </w:r>
      <w:r>
        <w:t xml:space="preserve"> </w:t>
      </w:r>
      <w:r>
        <w:t xml:space="preserve">(Petchey and Belgrano 2010)</w:t>
      </w:r>
      <w:r>
        <w:t xml:space="preserve">; size-biased extinctions</w:t>
      </w:r>
      <w:r>
        <w:t xml:space="preserve"> </w:t>
      </w:r>
      <w:r>
        <w:t xml:space="preserve">(Young et al. 2016, Smith et al. 2018)</w:t>
      </w:r>
    </w:p>
    <w:p>
      <w:pPr>
        <w:pStyle w:val="Compact"/>
        <w:numPr>
          <w:numId w:val="1003"/>
          <w:ilvl w:val="2"/>
        </w:numPr>
      </w:pPr>
      <w:r>
        <w:t xml:space="preserve">This underscores the need to understand how these dynamics are playing out in the Anthropocene</w:t>
      </w:r>
      <w:r>
        <w:t xml:space="preserve"> </w:t>
      </w:r>
      <w:r>
        <w:t xml:space="preserve">(Fisher et al. 2010)</w:t>
      </w:r>
    </w:p>
    <w:p>
      <w:pPr>
        <w:pStyle w:val="Compact"/>
        <w:numPr>
          <w:numId w:val="1001"/>
          <w:ilvl w:val="0"/>
        </w:numPr>
      </w:pPr>
      <w:r>
        <w:t xml:space="preserve">Looking at the relationship between size and abundance dynamics at the</w:t>
      </w:r>
      <w:r>
        <w:t xml:space="preserve"> </w:t>
      </w:r>
      <w:r>
        <w:rPr>
          <w:b/>
        </w:rPr>
        <w:t xml:space="preserve">community scale</w:t>
      </w:r>
      <w:r>
        <w:t xml:space="preserve"> </w:t>
      </w:r>
      <w:r>
        <w:t xml:space="preserve">tells us about important functional dynamics</w:t>
      </w:r>
    </w:p>
    <w:p>
      <w:pPr>
        <w:pStyle w:val="Compact"/>
        <w:numPr>
          <w:numId w:val="1004"/>
          <w:ilvl w:val="1"/>
        </w:numPr>
      </w:pPr>
      <w:r>
        <w:t xml:space="preserve">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w:t>
      </w:r>
    </w:p>
    <w:p>
      <w:pPr>
        <w:pStyle w:val="Compact"/>
        <w:numPr>
          <w:numId w:val="1004"/>
          <w:ilvl w:val="1"/>
        </w:numPr>
      </w:pPr>
      <w:r>
        <w:t xml:space="preserve">To the extent that size is a proxy for other functional traits, changes or consistency in the community-level size structure over time may reflect processes related to niche structure</w:t>
      </w:r>
      <w:r>
        <w:t xml:space="preserve"> </w:t>
      </w:r>
      <w:r>
        <w:t xml:space="preserve">(White et al. 2007, Petchey and Belgrano 2010)</w:t>
      </w:r>
    </w:p>
    <w:p>
      <w:pPr>
        <w:pStyle w:val="Compact"/>
        <w:numPr>
          <w:numId w:val="1004"/>
          <w:ilvl w:val="1"/>
        </w:numPr>
      </w:pPr>
      <w:r>
        <w:t xml:space="preserve">Scenarios:</w:t>
      </w:r>
    </w:p>
    <w:p>
      <w:pPr>
        <w:pStyle w:val="Compact"/>
        <w:numPr>
          <w:numId w:val="1005"/>
          <w:ilvl w:val="2"/>
        </w:numPr>
      </w:pPr>
      <w:r>
        <w:t xml:space="preserve">Strong size shifts can decouple the relationship between abundance and biomass.</w:t>
      </w:r>
    </w:p>
    <w:p>
      <w:pPr>
        <w:pStyle w:val="Compact"/>
        <w:numPr>
          <w:numId w:val="1006"/>
          <w:ilvl w:val="3"/>
        </w:numPr>
      </w:pPr>
      <w:r>
        <w:t xml:space="preserve">This is well established in aquatic systems, where changes in the scaling between abundance and biomass often signal ecosystem degradation</w:t>
      </w:r>
      <w:r>
        <w:t xml:space="preserve"> </w:t>
      </w:r>
      <w:r>
        <w:t xml:space="preserve">(</w:t>
      </w:r>
      <w:r>
        <w:rPr>
          <w:b/>
        </w:rPr>
        <w:t xml:space="preserve">???</w:t>
      </w:r>
      <w:r>
        <w:t xml:space="preserve">, Warwick and Clarke 1994 and refs therein, Petchey and Belgrano 2010)</w:t>
      </w:r>
    </w:p>
    <w:p>
      <w:pPr>
        <w:pStyle w:val="Compact"/>
        <w:numPr>
          <w:numId w:val="1005"/>
          <w:ilvl w:val="2"/>
        </w:numPr>
      </w:pPr>
      <w:r>
        <w:t xml:space="preserve">Or, compensatory shifts in the size structure can buffer community function (in terms of biomass or energy use) against changes in abundance</w:t>
      </w:r>
      <w:r>
        <w:t xml:space="preserve"> </w:t>
      </w:r>
      <w:r>
        <w:t xml:space="preserve">(Ernest et al. 2009, White et al. 2004, Terry and Rowe 2015)</w:t>
      </w:r>
    </w:p>
    <w:p>
      <w:pPr>
        <w:pStyle w:val="Compact"/>
        <w:numPr>
          <w:numId w:val="1005"/>
          <w:ilvl w:val="2"/>
        </w:numPr>
      </w:pPr>
      <w:r>
        <w:t xml:space="preserve">Or, consistency in the size structure may maintain the relationship between size- and -abundance based currencies, even as species composition, total abundance, and total biomass/total energy use fluctuate over time.</w:t>
      </w:r>
    </w:p>
    <w:p>
      <w:pPr>
        <w:pStyle w:val="Compact"/>
        <w:numPr>
          <w:numId w:val="1007"/>
          <w:ilvl w:val="3"/>
        </w:numPr>
      </w:pPr>
      <w:r>
        <w:t xml:space="preserve">Low turnover, or size-structured replacement - either of which could reflect consistency in the niche structure over time</w:t>
      </w:r>
      <w:r>
        <w:t xml:space="preserve"> </w:t>
      </w:r>
      <w:r>
        <w:t xml:space="preserve">(Holling 1992)</w:t>
      </w:r>
    </w:p>
    <w:p>
      <w:pPr>
        <w:pStyle w:val="Compact"/>
        <w:numPr>
          <w:numId w:val="1005"/>
          <w:ilvl w:val="2"/>
        </w:numPr>
      </w:pPr>
      <w:r>
        <w:t xml:space="preserve">Random dynamics/drift may also contribute to the dynamics of the size spectrum</w:t>
      </w:r>
    </w:p>
    <w:p>
      <w:pPr>
        <w:pStyle w:val="Compact"/>
        <w:numPr>
          <w:numId w:val="1008"/>
          <w:ilvl w:val="3"/>
        </w:numPr>
      </w:pPr>
      <w:r>
        <w:t xml:space="preserve">Either via neutral population dynamics, or through systematic change on axes orthogonal to size.</w:t>
      </w:r>
    </w:p>
    <w:p>
      <w:pPr>
        <w:pStyle w:val="Compact"/>
        <w:numPr>
          <w:numId w:val="1004"/>
          <w:ilvl w:val="1"/>
        </w:numPr>
      </w:pPr>
      <w:r>
        <w:t xml:space="preserve">Different subsets of a community may respond in different ways.</w:t>
      </w:r>
    </w:p>
    <w:p>
      <w:pPr>
        <w:pStyle w:val="Compact"/>
        <w:numPr>
          <w:numId w:val="1009"/>
          <w:ilvl w:val="2"/>
        </w:numPr>
      </w:pPr>
      <w:r>
        <w:t xml:space="preserve">Core and transient species have different biology and respond to different cues.</w:t>
      </w:r>
    </w:p>
    <w:p>
      <w:pPr>
        <w:pStyle w:val="Compact"/>
        <w:numPr>
          <w:numId w:val="1001"/>
          <w:ilvl w:val="0"/>
        </w:numPr>
      </w:pPr>
      <w:r>
        <w:t xml:space="preserve">It is important to improve our understanding of these dynamics for terrestrial animal communities in particular.</w:t>
      </w:r>
    </w:p>
    <w:p>
      <w:pPr>
        <w:pStyle w:val="Compact"/>
        <w:numPr>
          <w:numId w:val="1010"/>
          <w:ilvl w:val="1"/>
        </w:numPr>
      </w:pPr>
      <w:r>
        <w:t xml:space="preserve">Terrestrial animal communities are relatively unknown in terms of size spectrum work</w:t>
      </w:r>
      <w:r>
        <w:t xml:space="preserve"> </w:t>
      </w:r>
      <w:r>
        <w:t xml:space="preserve">(White et al. 2007)</w:t>
      </w:r>
      <w:r>
        <w:t xml:space="preserve">; but see classic bugs, classic birds,</w:t>
      </w:r>
      <w:r>
        <w:t xml:space="preserve"> </w:t>
      </w:r>
      <w:r>
        <w:t xml:space="preserve">(Thibault et al. 2011, Ernest 2005, Yen et al. 2017)</w:t>
      </w:r>
      <w:r>
        <w:t xml:space="preserve">.</w:t>
      </w:r>
    </w:p>
    <w:p>
      <w:pPr>
        <w:pStyle w:val="Compact"/>
        <w:numPr>
          <w:numId w:val="1010"/>
          <w:ilvl w:val="1"/>
        </w:numPr>
      </w:pPr>
      <w:r>
        <w:t xml:space="preserve">However, they:</w:t>
      </w:r>
    </w:p>
    <w:p>
      <w:pPr>
        <w:pStyle w:val="Compact"/>
        <w:numPr>
          <w:numId w:val="1011"/>
          <w:ilvl w:val="2"/>
        </w:numPr>
      </w:pPr>
      <w:r>
        <w:t xml:space="preserve">Exhibit size structure</w:t>
      </w:r>
      <w:r>
        <w:t xml:space="preserve"> </w:t>
      </w:r>
      <w:r>
        <w:t xml:space="preserve">(Thibault et al. 2011, Ernest 2005)</w:t>
      </w:r>
    </w:p>
    <w:p>
      <w:pPr>
        <w:pStyle w:val="Compact"/>
        <w:numPr>
          <w:numId w:val="1011"/>
          <w:ilvl w:val="2"/>
        </w:numPr>
      </w:pPr>
      <w:r>
        <w:t xml:space="preserve">Are experiencing serious and potentially size-structured change, with implications at community, ecosystem, and global scales</w:t>
      </w:r>
      <w:r>
        <w:t xml:space="preserve"> </w:t>
      </w:r>
      <w:r>
        <w:t xml:space="preserve">(Young et al. 2016, Schmitz et al. 2018)</w:t>
      </w:r>
      <w:r>
        <w:br/>
      </w:r>
    </w:p>
    <w:p>
      <w:pPr>
        <w:pStyle w:val="Compact"/>
        <w:numPr>
          <w:numId w:val="1010"/>
          <w:ilvl w:val="1"/>
        </w:numPr>
      </w:pPr>
      <w:r>
        <w:t xml:space="preserve">Case studies have demonstrated that size shifts can decouple N from E for terrestrial animals</w:t>
      </w:r>
      <w:r>
        <w:t xml:space="preserve"> </w:t>
      </w:r>
      <w:r>
        <w:t xml:space="preserve">(White et al. 2004, Yen et al. 2017)</w:t>
      </w:r>
      <w:r>
        <w:t xml:space="preserve"> </w:t>
      </w:r>
      <w:r>
        <w:t xml:space="preserve">while others have them moving together</w:t>
      </w:r>
      <w:r>
        <w:t xml:space="preserve"> </w:t>
      </w:r>
      <w:r>
        <w:t xml:space="preserve">(Hernández et al. 2011)</w:t>
      </w:r>
    </w:p>
    <w:p>
      <w:pPr>
        <w:pStyle w:val="Compact"/>
        <w:numPr>
          <w:numId w:val="1001"/>
          <w:ilvl w:val="0"/>
        </w:numPr>
      </w:pPr>
      <w:r>
        <w:t xml:space="preserve">Establishing general commonalities regarding these dynamics has been constrained by 1) a lack of macroecological-scale timeseries data on species and size composition for terrestrial animal communities</w:t>
      </w:r>
      <w:r>
        <w:t xml:space="preserve"> </w:t>
      </w:r>
      <w:r>
        <w:t xml:space="preserve">(Thibault et al. 2011, White et al. 2007)</w:t>
      </w:r>
      <w:r>
        <w:t xml:space="preserve">, and 2) appropriate methods for working with ISDs</w:t>
      </w:r>
    </w:p>
    <w:p>
      <w:pPr>
        <w:pStyle w:val="Compact"/>
        <w:numPr>
          <w:numId w:val="1012"/>
          <w:ilvl w:val="1"/>
        </w:numPr>
      </w:pPr>
      <w:r>
        <w:t xml:space="preserve">Data requirements: A consistent sampling protocol; many communities; long temporal extent; size</w:t>
      </w:r>
      <w:r>
        <w:t xml:space="preserve"> </w:t>
      </w:r>
      <w:r>
        <w:rPr>
          <w:i/>
        </w:rPr>
        <w:t xml:space="preserve">AND</w:t>
      </w:r>
      <w:r>
        <w:t xml:space="preserve"> </w:t>
      </w:r>
      <w:r>
        <w:t xml:space="preserve">abundance data (for a particular taxon, often size or abundance - but not both - is the traditional unit of measure); for the community (not population or global) scale</w:t>
      </w:r>
    </w:p>
    <w:p>
      <w:pPr>
        <w:pStyle w:val="Compact"/>
        <w:numPr>
          <w:numId w:val="1012"/>
          <w:ilvl w:val="1"/>
        </w:numPr>
      </w:pPr>
      <w:r>
        <w:t xml:space="preserve">ISD challenges: the ISDs for determinate growers (mammals, birds…) are not simple power laws</w:t>
      </w:r>
      <w:r>
        <w:t xml:space="preserve"> </w:t>
      </w:r>
      <w:r>
        <w:t xml:space="preserve">(Thibault et al. 2011, Ernest 2005)</w:t>
      </w:r>
      <w:r>
        <w:t xml:space="preserve">. Quantifying change is not as straightforward as computing a slope. (Neither is</w:t>
      </w:r>
      <w:r>
        <w:t xml:space="preserve"> </w:t>
      </w:r>
      <w:r>
        <w:rPr>
          <w:i/>
        </w:rPr>
        <w:t xml:space="preserve">comparing</w:t>
      </w:r>
      <w:r>
        <w:t xml:space="preserve"> </w:t>
      </w:r>
      <w:r>
        <w:t xml:space="preserve">change across currencies.)</w:t>
      </w:r>
    </w:p>
    <w:p>
      <w:pPr>
        <w:pStyle w:val="Compact"/>
        <w:numPr>
          <w:numId w:val="1012"/>
          <w:ilvl w:val="1"/>
        </w:numPr>
      </w:pPr>
      <w:r>
        <w:t xml:space="preserve">As a result, we do not have a synthetic understanding of either 1) the extent to which changes in the size structure decouple the dynamics of abundance, biomass, and energy use in these systems, or of 2) the underlying changes in community structure that account for these effects.</w:t>
      </w:r>
    </w:p>
    <w:p>
      <w:pPr>
        <w:pStyle w:val="Compact"/>
        <w:numPr>
          <w:numId w:val="1001"/>
          <w:ilvl w:val="0"/>
        </w:numPr>
      </w:pPr>
      <w:r>
        <w:t xml:space="preserve">Here, we begin to address this gap by exploring how temporal changes in species composition and the size spectrum modulate the relationship between total abundance, energy, and biomass for communities of North American breeding birds. Specifically,</w:t>
      </w:r>
    </w:p>
    <w:p>
      <w:pPr>
        <w:pStyle w:val="Compact"/>
        <w:numPr>
          <w:numId w:val="1013"/>
          <w:ilvl w:val="1"/>
        </w:numPr>
      </w:pPr>
      <w:r>
        <w:t xml:space="preserve">We used allometric scaling to estimate community size and abundance data for the North American Breeding Bird Survey, and evaluated how changes in total abundance, biomass, and energy use have co-varied from 1988-2018:</w:t>
      </w:r>
    </w:p>
    <w:p>
      <w:pPr>
        <w:pStyle w:val="Compact"/>
        <w:numPr>
          <w:numId w:val="1014"/>
          <w:ilvl w:val="2"/>
        </w:numPr>
      </w:pPr>
      <w:r>
        <w:t xml:space="preserve">How often do these currencies change together vs. have decoupled dynamics?</w:t>
      </w:r>
    </w:p>
    <w:p>
      <w:pPr>
        <w:pStyle w:val="Compact"/>
        <w:numPr>
          <w:numId w:val="1014"/>
          <w:ilvl w:val="2"/>
        </w:numPr>
      </w:pPr>
      <w:r>
        <w:t xml:space="preserve">What are the dominant directions and magnitudes of the overall change and any decoupling between the currencies?</w:t>
      </w:r>
    </w:p>
    <w:p>
      <w:pPr>
        <w:pStyle w:val="Compact"/>
        <w:numPr>
          <w:numId w:val="1013"/>
          <w:ilvl w:val="1"/>
        </w:numPr>
      </w:pPr>
      <w:r>
        <w:t xml:space="preserve">We examined how these changes differ between core species and the whole-community (i.e. including transients).</w:t>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Compact"/>
        <w:numPr>
          <w:numId w:val="1015"/>
          <w:ilvl w:val="0"/>
        </w:numPr>
      </w:pPr>
      <w:r>
        <w:t xml:space="preserve">We used data from the Breeding Bird Survey to compare community attributes along each route between the 5-year periods from 1988-1992 and 2014-2018.</w:t>
      </w:r>
      <w:r>
        <w:t xml:space="preserve"> </w:t>
      </w:r>
      <w:r>
        <w:t xml:space="preserve">1. 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w:t>
      </w:r>
      <w:r>
        <w:t xml:space="preserve"> </w:t>
      </w:r>
      <w:r>
        <w:t xml:space="preserve">1. 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w:t>
      </w:r>
      <w:r>
        <w:rPr>
          <w:b/>
        </w:rPr>
        <w:t xml:space="preserve">???</w:t>
      </w:r>
      <w:r>
        <w:t xml:space="preserve">, Cusser et al. 2020)</w:t>
      </w:r>
      <w:r>
        <w:t xml:space="preserve">. Developing continuous-time methods for analyzing complex, multidimensional community distributions such as the size spectrum is an important and ongoing area of methodological development (e.g. </w:t>
      </w:r>
      <w:r>
        <w:t xml:space="preserve">Yen et al. (2017)</w:t>
      </w:r>
      <w:r>
        <w:t xml:space="preserve">).</w:t>
      </w:r>
      <w:r>
        <w:t xml:space="preserve"> </w:t>
      </w:r>
      <w:r>
        <w:t xml:space="preserve">1. We used 5-year periods so as to smooth out interannual variability and to account for sampling accumulation effects in characterizing the bird community in each time period</w:t>
      </w:r>
      <w:r>
        <w:t xml:space="preserve"> </w:t>
      </w:r>
      <w:r>
        <w:t xml:space="preserve">(White et al. 2004)</w:t>
      </w:r>
      <w:r>
        <w:t xml:space="preserve">.</w:t>
      </w:r>
      <w:r>
        <w:t xml:space="preserve"> </w:t>
      </w:r>
      <w:r>
        <w:t xml:space="preserve">1. We used the same begin and end dates for all routes in the analysis so as to have a consistent window.</w:t>
      </w:r>
      <w:r>
        <w:t xml:space="preserve"> </w:t>
      </w:r>
      <w:r>
        <w:t xml:space="preserve">1. 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X to X and end dates ranging from X to X,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w:t>
      </w:r>
      <w:r>
        <w:t xml:space="preserve"> </w:t>
      </w:r>
      <w:r>
        <w:t xml:space="preserve">1. This yielded 528 routes.</w:t>
      </w:r>
      <w:r>
        <w:t xml:space="preserve"> </w:t>
      </w:r>
      <w:r>
        <w:t xml:space="preserve">1. Sometimes I subsample the 528 to get a maximum of 10 routes per bird conservation region, so that the highly-sampled BCRs don’t dominate aggregate analyses</w:t>
      </w:r>
      <w:r>
        <w:t xml:space="preserve"> </w:t>
      </w:r>
      <w:r>
        <w:t xml:space="preserve">(Thibault et al. 2011)</w:t>
      </w:r>
      <w:r>
        <w:t xml:space="preserve">. That yields 238 (I believe).</w:t>
      </w:r>
      <w:r>
        <w:t xml:space="preserve"> </w:t>
      </w:r>
      <w:r>
        <w:t xml:space="preserve">## Estimated size data</w:t>
      </w:r>
    </w:p>
    <w:p>
      <w:pPr>
        <w:pStyle w:val="Compact"/>
        <w:numPr>
          <w:numId w:val="1016"/>
          <w:ilvl w:val="1"/>
        </w:numPr>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also recent Myers/Catano/Fristoe paper I believe).</w:t>
      </w:r>
    </w:p>
    <w:p>
      <w:pPr>
        <w:pStyle w:val="Compact"/>
        <w:numPr>
          <w:numId w:val="1017"/>
          <w:ilvl w:val="2"/>
        </w:numPr>
      </w:pPr>
      <w:r>
        <w:t xml:space="preserve">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w:t>
      </w:r>
    </w:p>
    <w:p>
      <w:pPr>
        <w:pStyle w:val="Compact"/>
        <w:numPr>
          <w:numId w:val="1018"/>
          <w:ilvl w:val="3"/>
        </w:numPr>
      </w:pPr>
      <w:r>
        <w:t xml:space="preserve">For species for which there was not a standard deviation recorded in</w:t>
      </w:r>
      <w:r>
        <w:t xml:space="preserve"> </w:t>
      </w:r>
      <w:r>
        <w:t xml:space="preserve">(</w:t>
      </w:r>
      <w:r>
        <w:rPr>
          <w:b/>
        </w:rPr>
        <w:t xml:space="preserve">???</w:t>
      </w:r>
      <w:r>
        <w:t xml:space="preserve">)</w:t>
      </w:r>
      <w:r>
        <w:t xml:space="preserve"> </w:t>
      </w:r>
      <w:r>
        <w:t xml:space="preserve">(n =?), we estimated the standard deviation based on an allometric scaling relationship between mean and standard deviation in body mass (also described in</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w:t>
      </w:r>
    </w:p>
    <w:p>
      <w:pPr>
        <w:pStyle w:val="Compact"/>
        <w:numPr>
          <w:numId w:val="1017"/>
          <w:ilvl w:val="2"/>
        </w:numPr>
      </w:pPr>
      <w:r>
        <w:t xml:space="preserve">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Compact"/>
        <w:numPr>
          <w:numId w:val="1017"/>
          <w:ilvl w:val="2"/>
        </w:numPr>
      </w:pPr>
      <w:r>
        <w:t xml:space="preserve">For each individual bird observed, we estimated metabolic rate as (parameters)</w:t>
      </w:r>
      <w:r>
        <w:t xml:space="preserve"> </w:t>
      </w:r>
      <w:r>
        <w:t xml:space="preserve">(Fristoe 2015)</w:t>
      </w:r>
      <w:r>
        <w:t xml:space="preserve">.</w:t>
      </w:r>
    </w:p>
    <w:p>
      <w:pPr>
        <w:pStyle w:val="Compact"/>
        <w:numPr>
          <w:numId w:val="1017"/>
          <w:ilvl w:val="2"/>
        </w:numPr>
      </w:pPr>
      <w:r>
        <w:t xml:space="preserve">For each route in a given year, we compute total energy use, total biomass, and total abundance by summing over all individuals observed on that route in that year.</w:t>
      </w:r>
    </w:p>
    <w:p>
      <w:pPr>
        <w:pStyle w:val="Heading2"/>
      </w:pPr>
      <w:bookmarkStart w:id="23" w:name="comparing-isds-over-time"/>
      <w:r>
        <w:t xml:space="preserve">Comparing ISDs over time</w:t>
      </w:r>
      <w:bookmarkEnd w:id="23"/>
    </w:p>
    <w:p>
      <w:pPr>
        <w:pStyle w:val="Compact"/>
        <w:numPr>
          <w:numId w:val="1019"/>
          <w:ilvl w:val="0"/>
        </w:numPr>
      </w:pPr>
      <w:r>
        <w:t xml:space="preserve">Characterizing the ISD</w:t>
      </w:r>
    </w:p>
    <w:p>
      <w:pPr>
        <w:pStyle w:val="Compact"/>
        <w:numPr>
          <w:numId w:val="1020"/>
          <w:ilvl w:val="1"/>
        </w:numPr>
      </w:pPr>
      <w:r>
        <w:t xml:space="preserve">For a given route and time period, we draw the appropriate numbers of individuals of each species from their corresponding normal distributions.</w:t>
      </w:r>
    </w:p>
    <w:p>
      <w:pPr>
        <w:pStyle w:val="Compact"/>
        <w:numPr>
          <w:numId w:val="1020"/>
          <w:ilvl w:val="1"/>
        </w:numPr>
      </w:pPr>
      <w:r>
        <w:t xml:space="preserve">We use two approaches to test whether the ISD for 1988-1992 is significantly different from the one for 2014-2018</w:t>
      </w:r>
    </w:p>
    <w:p>
      <w:pPr>
        <w:pStyle w:val="Compact"/>
        <w:numPr>
          <w:numId w:val="1021"/>
          <w:ilvl w:val="2"/>
        </w:numPr>
      </w:pPr>
      <w:r>
        <w:t xml:space="preserve">Kolmogorov-Smirnov test on the vector of masses for the begin vs end time periods</w:t>
      </w:r>
    </w:p>
    <w:p>
      <w:pPr>
        <w:pStyle w:val="Compact"/>
        <w:numPr>
          <w:numId w:val="1021"/>
          <w:ilvl w:val="2"/>
        </w:numPr>
      </w:pPr>
      <w:r>
        <w:t xml:space="preserve">Bootstrap resampling of individuals</w:t>
      </w:r>
      <w:r>
        <w:t xml:space="preserve"> </w:t>
      </w:r>
      <w:r>
        <w:t xml:space="preserve">(pretty sure this derives from Ernest 2005)</w:t>
      </w:r>
      <w:r>
        <w:t xml:space="preserve">:</w:t>
      </w:r>
    </w:p>
    <w:p>
      <w:pPr>
        <w:pStyle w:val="Compact"/>
        <w:numPr>
          <w:numId w:val="1022"/>
          <w:ilvl w:val="3"/>
        </w:numPr>
      </w:pPr>
      <w:r>
        <w:t xml:space="preserve">From the pool of all individuals</w:t>
      </w:r>
      <w:r>
        <w:t xml:space="preserve"> </w:t>
      </w:r>
      <w:r>
        <w:t xml:space="preserve">“</w:t>
      </w:r>
      <w:r>
        <w:t xml:space="preserve">observed</w:t>
      </w:r>
      <w:r>
        <w:t xml:space="preserve">”</w:t>
      </w:r>
      <w:r>
        <w:t xml:space="preserve"> </w:t>
      </w:r>
      <w:r>
        <w:t xml:space="preserve">in both timeperiods, draw the appropriate number for each time period without replacement.</w:t>
      </w:r>
    </w:p>
    <w:p>
      <w:pPr>
        <w:pStyle w:val="Compact"/>
        <w:numPr>
          <w:numId w:val="1022"/>
          <w:ilvl w:val="3"/>
        </w:numPr>
      </w:pPr>
      <w:r>
        <w:t xml:space="preserve">KS test comparing</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for the reshuffled communities</w:t>
      </w:r>
    </w:p>
    <w:p>
      <w:pPr>
        <w:pStyle w:val="Compact"/>
        <w:numPr>
          <w:numId w:val="1022"/>
          <w:ilvl w:val="3"/>
        </w:numPr>
      </w:pPr>
      <w:r>
        <w:t xml:space="preserve">Repeat 500x and retain the test statistic (D) for all tests</w:t>
      </w:r>
    </w:p>
    <w:p>
      <w:pPr>
        <w:pStyle w:val="Compact"/>
        <w:numPr>
          <w:numId w:val="1022"/>
          <w:ilvl w:val="3"/>
        </w:numPr>
      </w:pPr>
      <w:r>
        <w:t xml:space="preserve">Compute the percentile and standardized effect size</w:t>
      </w:r>
      <w:r>
        <w:t xml:space="preserve"> </w:t>
      </w:r>
      <w:r>
        <w:t xml:space="preserve">(</w:t>
      </w:r>
      <w:r>
        <w:rPr>
          <w:b/>
        </w:rPr>
        <w:t xml:space="preserve">???</w:t>
      </w:r>
      <w:r>
        <w:t xml:space="preserve">)</w:t>
      </w:r>
      <w:r>
        <w:t xml:space="preserve"> </w:t>
      </w:r>
      <w:r>
        <w:t xml:space="preserve">for the test statistic for the</w:t>
      </w:r>
      <w:r>
        <w:t xml:space="preserve"> </w:t>
      </w:r>
      <w:r>
        <w:rPr>
          <w:i/>
        </w:rPr>
        <w:t xml:space="preserve">actual</w:t>
      </w:r>
      <w:r>
        <w:t xml:space="preserve"> </w:t>
      </w:r>
      <w:r>
        <w:t xml:space="preserve">time periods to the distribution of test statistics for the reshuffles</w:t>
      </w:r>
    </w:p>
    <w:p>
      <w:pPr>
        <w:pStyle w:val="Compact"/>
        <w:numPr>
          <w:numId w:val="1020"/>
          <w:ilvl w:val="1"/>
        </w:numPr>
      </w:pPr>
      <w:r>
        <w:t xml:space="preserve">For an intuitive measure of the magnitude of change over time, we compute an overlap measure derived from</w:t>
      </w:r>
      <w:r>
        <w:t xml:space="preserve"> </w:t>
      </w:r>
      <w:r>
        <w:t xml:space="preserve">(Read et al. 2018)</w:t>
      </w:r>
      <w:r>
        <w:t xml:space="preserve">:</w:t>
      </w:r>
    </w:p>
    <w:p>
      <w:pPr>
        <w:pStyle w:val="Compact"/>
        <w:numPr>
          <w:numId w:val="1023"/>
          <w:ilvl w:val="2"/>
        </w:numPr>
      </w:pPr>
      <w:r>
        <w:t xml:space="preserve">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then rescale the density function so the total area under the ISD is 1.</w:t>
      </w:r>
    </w:p>
    <w:p>
      <w:pPr>
        <w:pStyle w:val="Compact"/>
        <w:numPr>
          <w:numId w:val="1023"/>
          <w:ilvl w:val="2"/>
        </w:numPr>
      </w:pPr>
      <w:r>
        <w:t xml:space="preserve">We calculate the overlap between two ISDs as the sum of the minimum density at each evaluation point. This ranges from 0 (no overlap) to 1 (complete overlap).</w:t>
      </w:r>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24"/>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1-2.png" id="0" name="Picture"/>
                    <pic:cNvPicPr>
                      <a:picLocks noChangeArrowheads="1" noChangeAspect="1"/>
                    </pic:cNvPicPr>
                  </pic:nvPicPr>
                  <pic:blipFill>
                    <a:blip r:embed="rId25"/>
                    <a:stretch>
                      <a:fillRect/>
                    </a:stretch>
                  </pic:blipFill>
                  <pic:spPr bwMode="auto">
                    <a:xfrm>
                      <a:off x="0" y="0"/>
                      <a:ext cx="4267200" cy="2438400"/>
                    </a:xfrm>
                    <a:prstGeom prst="rect">
                      <a:avLst/>
                    </a:prstGeom>
                    <a:noFill/>
                    <a:ln w="9525">
                      <a:noFill/>
                      <a:headEnd/>
                      <a:tailEnd/>
                    </a:ln>
                  </pic:spPr>
                </pic:pic>
              </a:graphicData>
            </a:graphic>
          </wp:inline>
        </w:drawing>
      </w:r>
    </w:p>
    <w:p>
      <w:pPr>
        <w:pStyle w:val="BodyText"/>
      </w:pPr>
      <w:r>
        <w:t xml:space="preserve">For this site, the KS test p value is 0. The observed test statistic has a percentile of 1 and SES of 11.58 compared to 500 shuffles. The observed ISDs have an overlap of 0.81.</w:t>
      </w:r>
    </w:p>
    <w:p>
      <w:pPr>
        <w:pStyle w:val="Heading2"/>
      </w:pPr>
      <w:bookmarkStart w:id="26" w:name="X2808d49d7c2fa93fdb0185a5599de43f96f2cbc"/>
      <w:r>
        <w:t xml:space="preserve">Decoupling of dynamics in total abundance, biomass, and energy use over time</w:t>
      </w:r>
      <w:bookmarkEnd w:id="26"/>
    </w:p>
    <w:p>
      <w:pPr>
        <w:pStyle w:val="Heading3"/>
      </w:pPr>
      <w:bookmarkStart w:id="27" w:name="sims"/>
      <w:r>
        <w:t xml:space="preserve">Sims</w:t>
      </w:r>
      <w:bookmarkEnd w:id="27"/>
    </w:p>
    <w:p>
      <w:pPr>
        <w:pStyle w:val="Compact"/>
        <w:numPr>
          <w:numId w:val="1024"/>
          <w:ilvl w:val="0"/>
        </w:numPr>
      </w:pPr>
      <w:r>
        <w:t xml:space="preserve">To test whether change in the ISD results in decoupling of currencies, we can’t just compare the slopes for total energy, total biomass,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w:t>
      </w:r>
    </w:p>
    <w:p>
      <w:pPr>
        <w:pStyle w:val="Compact"/>
        <w:numPr>
          <w:numId w:val="1024"/>
          <w:ilvl w:val="0"/>
        </w:numPr>
      </w:pPr>
      <w:r>
        <w:t xml:space="preserve">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 Enter Null Model A.</w:t>
      </w:r>
    </w:p>
    <w:p>
      <w:pPr>
        <w:pStyle w:val="Compact"/>
        <w:numPr>
          <w:numId w:val="1025"/>
          <w:ilvl w:val="1"/>
        </w:numPr>
      </w:pPr>
      <w:r>
        <w:t xml:space="preserve">Figures and functions walking through this procedure are at</w:t>
      </w:r>
      <w:r>
        <w:t xml:space="preserve"> </w:t>
      </w:r>
      <w:hyperlink r:id="rId28">
        <w:r>
          <w:rPr>
            <w:rStyle w:val="Hyperlink"/>
          </w:rPr>
          <w:t xml:space="preserve">https://github.com/diazrenata/redwing/blob/resim-cleanup/aspirational_structure/methods_vignettes/change_over_time/02_01_change_over_time_sims.md</w:t>
        </w:r>
      </w:hyperlink>
      <w:r>
        <w:t xml:space="preserve"> </w:t>
      </w:r>
      <w:r>
        <w:t xml:space="preserve">but they’re a little rough.</w:t>
      </w:r>
    </w:p>
    <w:p>
      <w:pPr>
        <w:pStyle w:val="Compact"/>
        <w:numPr>
          <w:numId w:val="1025"/>
          <w:ilvl w:val="1"/>
        </w:numPr>
      </w:pPr>
      <w:r>
        <w:t xml:space="preserve">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w:t>
      </w:r>
    </w:p>
    <w:p>
      <w:pPr>
        <w:pStyle w:val="Compact"/>
        <w:numPr>
          <w:numId w:val="1026"/>
          <w:ilvl w:val="2"/>
        </w:numPr>
      </w:pPr>
      <w:r>
        <w:t xml:space="preserve">We construct sampling ISDs for each time period, to characterize the probability of observing an individual of a given size in that time period. We draw individuals, fit GMMs, and characterize the probabilty density function as above. For this, because there is some sampling error, I draw 5 copies of the ISD and fit the GMM to the combined 5 draws. This doesn’t affect anything in practice and is mostly inspired by a one-off comment from Allen Hurlbert about</w:t>
      </w:r>
      <w:r>
        <w:t xml:space="preserve"> </w:t>
      </w:r>
      <w:r>
        <w:t xml:space="preserve">“</w:t>
      </w:r>
      <w:r>
        <w:t xml:space="preserve">sampling error</w:t>
      </w:r>
      <w:r>
        <w:t xml:space="preserve">”</w:t>
      </w:r>
      <w:r>
        <w:t xml:space="preserve"> </w:t>
      </w:r>
      <w:r>
        <w:t xml:space="preserve">so I might drop it. We construct sampling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w:t>
      </w:r>
    </w:p>
    <w:p>
      <w:pPr>
        <w:pStyle w:val="Compact"/>
        <w:numPr>
          <w:numId w:val="1026"/>
          <w:ilvl w:val="2"/>
        </w:numPr>
      </w:pPr>
      <w:r>
        <w:t xml:space="preserve">We then</w:t>
      </w:r>
      <w:r>
        <w:t xml:space="preserve"> </w:t>
      </w:r>
      <w:r>
        <w:rPr>
          <w:i/>
        </w:rPr>
        <w:t xml:space="preserve">re draw</w:t>
      </w:r>
      <w:r>
        <w:t xml:space="preserve"> </w:t>
      </w:r>
      <w:r>
        <w:t xml:space="preserve">individuals for each time period and shuffle the ISDs to produce scenarios.</w:t>
      </w:r>
    </w:p>
    <w:p>
      <w:pPr>
        <w:pStyle w:val="Compact"/>
        <w:numPr>
          <w:numId w:val="1027"/>
          <w:ilvl w:val="3"/>
        </w:numPr>
      </w:pPr>
      <w:r>
        <w:t xml:space="preserve">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w:t>
      </w:r>
    </w:p>
    <w:p>
      <w:pPr>
        <w:pStyle w:val="Compact"/>
        <w:numPr>
          <w:numId w:val="1027"/>
          <w:ilvl w:val="3"/>
        </w:numPr>
      </w:pPr>
      <w:r>
        <w:t xml:space="preserve">Then we draw individuals for each year, but using the</w:t>
      </w:r>
      <w:r>
        <w:t xml:space="preserve"> </w:t>
      </w:r>
      <w:r>
        <w:t xml:space="preserve">“</w:t>
      </w:r>
      <w:r>
        <w:t xml:space="preserve">begin</w:t>
      </w:r>
      <w:r>
        <w:t xml:space="preserve">”</w:t>
      </w:r>
      <w:r>
        <w:t xml:space="preserve"> </w:t>
      </w:r>
      <w:r>
        <w:t xml:space="preserve">ISD for all years.</w:t>
      </w:r>
    </w:p>
    <w:p>
      <w:pPr>
        <w:pStyle w:val="Compact"/>
        <w:numPr>
          <w:numId w:val="1027"/>
          <w:ilvl w:val="3"/>
        </w:numPr>
      </w:pPr>
      <w:r>
        <w:t xml:space="preserve">We draw year-by-year, instead of the whole time period, because there is interannual, intratimeperiod variation in total abundance that we would like to capture. But we pool individuals within a time period to create the ISD to smooth out species accumulation.</w:t>
      </w:r>
    </w:p>
    <w:p>
      <w:pPr>
        <w:pStyle w:val="Compact"/>
        <w:numPr>
          <w:numId w:val="1027"/>
          <w:ilvl w:val="3"/>
        </w:numPr>
      </w:pPr>
      <w:r>
        <w:t xml:space="preserve">Draws from sampling ISDs like this diverge slightly from draws from the raw species counts and sds. So we run everything through this pipeline for comparability.</w:t>
      </w:r>
    </w:p>
    <w:p>
      <w:pPr>
        <w:pStyle w:val="Compact"/>
        <w:numPr>
          <w:numId w:val="1026"/>
          <w:ilvl w:val="2"/>
        </w:numPr>
      </w:pPr>
      <w:r>
        <w:t xml:space="preserve">We compute total energy use and total biomass for each year for each scenario.</w:t>
      </w:r>
    </w:p>
    <w:p>
      <w:pPr>
        <w:pStyle w:val="Compact"/>
        <w:numPr>
          <w:numId w:val="1026"/>
          <w:ilvl w:val="2"/>
        </w:numPr>
      </w:pPr>
      <w:r>
        <w:t xml:space="preserve">Again because there is some sampling error, we repeat the re-drawing of individuals 5 times and compute the mean total biomass/total energy use across draws. Again I don’t think this really affects stuff in aggregate and I could be talked out of it.</w:t>
      </w:r>
    </w:p>
    <w:p>
      <w:pPr>
        <w:pStyle w:val="FirstParagraph"/>
      </w:pPr>
      <w:r>
        <w:drawing>
          <wp:inline>
            <wp:extent cx="4267200" cy="42672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29"/>
                    <a:stretch>
                      <a:fillRect/>
                    </a:stretch>
                  </pic:blipFill>
                  <pic:spPr bwMode="auto">
                    <a:xfrm>
                      <a:off x="0" y="0"/>
                      <a:ext cx="4267200" cy="4267200"/>
                    </a:xfrm>
                    <a:prstGeom prst="rect">
                      <a:avLst/>
                    </a:prstGeom>
                    <a:noFill/>
                    <a:ln w="9525">
                      <a:noFill/>
                      <a:headEnd/>
                      <a:tailEnd/>
                    </a:ln>
                  </pic:spPr>
                </pic:pic>
              </a:graphicData>
            </a:graphic>
          </wp:inline>
        </w:drawing>
      </w:r>
      <w:r>
        <w:drawing>
          <wp:inline>
            <wp:extent cx="4267200" cy="4267200"/>
            <wp:effectExtent b="0" l="0" r="0" t="0"/>
            <wp:docPr descr="" title="" id="1" name="Picture"/>
            <a:graphic>
              <a:graphicData uri="http://schemas.openxmlformats.org/drawingml/2006/picture">
                <pic:pic>
                  <pic:nvPicPr>
                    <pic:cNvPr descr="rough_outline_files/figure-docx/unnamed-chunk-3-2.png" id="0" name="Picture"/>
                    <pic:cNvPicPr>
                      <a:picLocks noChangeArrowheads="1" noChangeAspect="1"/>
                    </pic:cNvPicPr>
                  </pic:nvPicPr>
                  <pic:blipFill>
                    <a:blip r:embed="rId30"/>
                    <a:stretch>
                      <a:fillRect/>
                    </a:stretch>
                  </pic:blipFill>
                  <pic:spPr bwMode="auto">
                    <a:xfrm>
                      <a:off x="0" y="0"/>
                      <a:ext cx="4267200" cy="4267200"/>
                    </a:xfrm>
                    <a:prstGeom prst="rect">
                      <a:avLst/>
                    </a:prstGeom>
                    <a:noFill/>
                    <a:ln w="9525">
                      <a:noFill/>
                      <a:headEnd/>
                      <a:tailEnd/>
                    </a:ln>
                  </pic:spPr>
                </pic:pic>
              </a:graphicData>
            </a:graphic>
          </wp:inline>
        </w:drawing>
      </w:r>
    </w:p>
    <w:p>
      <w:pPr>
        <w:pStyle w:val="Heading3"/>
      </w:pPr>
      <w:bookmarkStart w:id="31" w:name="testing-change"/>
      <w:r>
        <w:t xml:space="preserve">Testing change</w:t>
      </w:r>
      <w:bookmarkEnd w:id="31"/>
    </w:p>
    <w:p>
      <w:pPr>
        <w:pStyle w:val="Compact"/>
        <w:numPr>
          <w:numId w:val="1028"/>
          <w:ilvl w:val="0"/>
        </w:numPr>
      </w:pPr>
      <w:r>
        <w:t xml:space="preserve">We use Bayesian linear models to test whether change in the</w:t>
      </w:r>
      <w:r>
        <w:t xml:space="preserve"> </w:t>
      </w:r>
      <w:r>
        <w:t xml:space="preserve">“</w:t>
      </w:r>
      <w:r>
        <w:t xml:space="preserve">actual ISDs</w:t>
      </w:r>
      <w:r>
        <w:t xml:space="preserve">”</w:t>
      </w:r>
      <w:r>
        <w:t xml:space="preserve"> </w:t>
      </w:r>
      <w:r>
        <w:t xml:space="preserve">vs</w:t>
      </w:r>
      <w:r>
        <w:t xml:space="preserve"> </w:t>
      </w:r>
      <w:r>
        <w:t xml:space="preserve">“</w:t>
      </w:r>
      <w:r>
        <w:t xml:space="preserve">no change-ISDs</w:t>
      </w:r>
      <w:r>
        <w:t xml:space="preserve">”</w:t>
      </w:r>
      <w:r>
        <w:t xml:space="preserve"> </w:t>
      </w:r>
      <w:r>
        <w:t xml:space="preserve">scenarios differs.</w:t>
      </w:r>
    </w:p>
    <w:p>
      <w:pPr>
        <w:pStyle w:val="Compact"/>
        <w:numPr>
          <w:numId w:val="1029"/>
          <w:ilvl w:val="1"/>
        </w:numPr>
      </w:pPr>
      <w:r>
        <w:t xml:space="preserve">The</w:t>
      </w:r>
      <w:r>
        <w:t xml:space="preserve"> </w:t>
      </w:r>
      <w:r>
        <w:t xml:space="preserve">“</w:t>
      </w:r>
      <w:r>
        <w:t xml:space="preserve">no-change ISDs</w:t>
      </w:r>
      <w:r>
        <w:t xml:space="preserve">”</w:t>
      </w:r>
      <w:r>
        <w:t xml:space="preserve"> </w:t>
      </w:r>
      <w:r>
        <w:t xml:space="preserve">scenario reflects change in total energy/biomass due simply to changes in total abundance. The</w:t>
      </w:r>
      <w:r>
        <w:t xml:space="preserve"> </w:t>
      </w:r>
      <w:r>
        <w:t xml:space="preserve">“</w:t>
      </w:r>
      <w:r>
        <w:t xml:space="preserve">actual ISDs</w:t>
      </w:r>
      <w:r>
        <w:t xml:space="preserve">”</w:t>
      </w:r>
      <w:r>
        <w:t xml:space="preserve"> </w:t>
      </w:r>
      <w:r>
        <w:t xml:space="preserve">scenario reflects the combined effects of change in abundance and change in the ISD.</w:t>
      </w:r>
    </w:p>
    <w:p>
      <w:pPr>
        <w:pStyle w:val="Compact"/>
        <w:numPr>
          <w:numId w:val="1029"/>
          <w:ilvl w:val="1"/>
        </w:numPr>
      </w:pPr>
      <w:r>
        <w:t xml:space="preserve">We evaluate change at the route level. I tried fitting everything within one hierarchical model, but the hierarachical model attributes a lot of variation to getting the right intercept for each route (which we don’t care about) and does a really bad job estimating within-route slopes and decoupling (which is what we do care about). It’s also ridiculously hard to compute for a large number of routes and I never managed to run it on the full dataset. These are challenges you don’t run into if - like</w:t>
      </w:r>
      <w:r>
        <w:t xml:space="preserve"> </w:t>
      </w:r>
      <w:r>
        <w:t xml:space="preserve">Dornelas et al. (2014)</w:t>
      </w:r>
      <w:r>
        <w:t xml:space="preserve"> </w:t>
      </w:r>
      <w:r>
        <w:t xml:space="preserve">- you’re only interested in change in one currency per site. We care most about the</w:t>
      </w:r>
      <w:r>
        <w:t xml:space="preserve"> </w:t>
      </w:r>
      <w:r>
        <w:rPr>
          <w:i/>
        </w:rPr>
        <w:t xml:space="preserve">decoupling</w:t>
      </w:r>
      <w:r>
        <w:t xml:space="preserve"> </w:t>
      </w:r>
      <w:r>
        <w:t xml:space="preserve">of slopes at the route level. The use of a Bayesian framework helps us offset some of the issues around p-values if we were to do this many models in a frequentist setting.</w:t>
      </w:r>
    </w:p>
    <w:p>
      <w:pPr>
        <w:pStyle w:val="Compact"/>
        <w:numPr>
          <w:numId w:val="1029"/>
          <w:ilvl w:val="1"/>
        </w:numPr>
      </w:pPr>
      <w:r>
        <w:t xml:space="preserve">Figures and functions here:</w:t>
      </w:r>
      <w:r>
        <w:t xml:space="preserve"> </w:t>
      </w:r>
      <w:hyperlink r:id="rId32">
        <w:r>
          <w:rPr>
            <w:rStyle w:val="Hyperlink"/>
          </w:rPr>
          <w:t xml:space="preserve">https://github.com/diazrenata/redwing/blob/resim-cleanup/aspirational_structure/methods_vignettes/change_over_time/02_02_testing_change.md</w:t>
        </w:r>
      </w:hyperlink>
      <w:r>
        <w:t xml:space="preserve"> </w:t>
      </w:r>
      <w:r>
        <w:t xml:space="preserve">(but rough)</w:t>
      </w:r>
    </w:p>
    <w:p>
      <w:pPr>
        <w:pStyle w:val="Compact"/>
        <w:numPr>
          <w:numId w:val="1029"/>
          <w:ilvl w:val="1"/>
        </w:numPr>
      </w:pPr>
      <w:r>
        <w:t xml:space="preserve">For each currency for each route, we fit 3 models:</w:t>
      </w:r>
    </w:p>
    <w:p>
      <w:pPr>
        <w:pStyle w:val="Compact"/>
        <w:numPr>
          <w:numId w:val="1030"/>
          <w:ilvl w:val="2"/>
        </w:numPr>
      </w:pPr>
      <w:r>
        <w:rPr>
          <w:rStyle w:val="VerbatimChar"/>
        </w:rPr>
        <w:t xml:space="preserve">total_biomass ~ timeperiod * scenario</w:t>
      </w:r>
      <w:r>
        <w:t xml:space="preserve">,</w:t>
      </w:r>
      <w:r>
        <w:t xml:space="preserve"> </w:t>
      </w:r>
      <w:r>
        <w:rPr>
          <w:rStyle w:val="VerbatimChar"/>
        </w:rPr>
        <w:t xml:space="preserve">total_biomass ~ timeperiod</w:t>
      </w:r>
      <w:r>
        <w:t xml:space="preserve">,</w:t>
      </w:r>
      <w:r>
        <w:t xml:space="preserve"> </w:t>
      </w:r>
      <w:r>
        <w:rPr>
          <w:rStyle w:val="VerbatimChar"/>
        </w:rPr>
        <w:t xml:space="preserve">total_biomass ~ 1</w:t>
      </w:r>
    </w:p>
    <w:p>
      <w:pPr>
        <w:pStyle w:val="Compact"/>
        <w:numPr>
          <w:numId w:val="1030"/>
          <w:ilvl w:val="2"/>
        </w:numPr>
      </w:pPr>
      <w:r>
        <w:t xml:space="preserve">We used LOO-crossvalidation to select the best-fitting model as the simplest model with an ELPD within 1 SE of the best-fitting model.</w:t>
      </w:r>
    </w:p>
    <w:p>
      <w:pPr>
        <w:pStyle w:val="Compact"/>
        <w:numPr>
          <w:numId w:val="1030"/>
          <w:ilvl w:val="2"/>
        </w:numPr>
      </w:pPr>
      <w:r>
        <w:t xml:space="preserve">We used</w:t>
      </w:r>
      <w:r>
        <w:t xml:space="preserve"> </w:t>
      </w:r>
      <w:r>
        <w:rPr>
          <w:rStyle w:val="VerbatimChar"/>
        </w:rPr>
        <w:t xml:space="preserve">reloo</w:t>
      </w:r>
      <w:r>
        <w:t xml:space="preserve"> </w:t>
      </w:r>
      <w:r>
        <w:t xml:space="preserve">to correct for outliers.</w:t>
      </w:r>
    </w:p>
    <w:p>
      <w:pPr>
        <w:pStyle w:val="Compact"/>
        <w:numPr>
          <w:numId w:val="1030"/>
          <w:ilvl w:val="2"/>
        </w:numPr>
      </w:pPr>
      <w:r>
        <w:t xml:space="preserve">We fit as Gaussians with default priors, run for 8000 iterations. We fit as Gaussians to avoid having to deal with back-transforming the parameter estimates (and because when I coerced to other family distributions I got tons of convergence issues). Running for 8000 iterations is extremely generous for these models.</w:t>
      </w:r>
    </w:p>
    <w:p>
      <w:pPr>
        <w:pStyle w:val="Compact"/>
        <w:numPr>
          <w:numId w:val="1029"/>
          <w:ilvl w:val="1"/>
        </w:numPr>
      </w:pPr>
      <w:r>
        <w:t xml:space="preserve">If the best-fitting model does not include the scenario term,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Compact"/>
        <w:numPr>
          <w:numId w:val="1029"/>
          <w:ilvl w:val="1"/>
        </w:numPr>
      </w:pPr>
      <w:r>
        <w:t xml:space="preserve">We extract parameter estimates from the best-fitting model to examine the magnitude and direction of change beginning-to-end and decoupling due to change in the ISD.</w:t>
      </w:r>
    </w:p>
    <w:p>
      <w:pPr>
        <w:pStyle w:val="Compact"/>
        <w:numPr>
          <w:numId w:val="1029"/>
          <w:ilvl w:val="1"/>
        </w:numPr>
      </w:pPr>
      <w:r>
        <w:t xml:space="preserve">I ran this whole pipeline on some</w:t>
      </w:r>
      <w:r>
        <w:t xml:space="preserve"> </w:t>
      </w:r>
      <w:r>
        <w:t xml:space="preserve">“</w:t>
      </w:r>
      <w:r>
        <w:t xml:space="preserve">quality control</w:t>
      </w:r>
      <w:r>
        <w:t xml:space="preserve">”</w:t>
      </w:r>
      <w:r>
        <w:t xml:space="preserve"> </w:t>
      </w:r>
      <w:r>
        <w:t xml:space="preserve">sims where 1) neither abundance nor the ISD changes begin-end and 2) the ISD doesn’t change begin-end for either scenario. It behaves as expected for those.</w:t>
      </w:r>
    </w:p>
    <w:p>
      <w:pPr>
        <w:pStyle w:val="Compact"/>
        <w:numPr>
          <w:numId w:val="1028"/>
          <w:ilvl w:val="0"/>
        </w:numPr>
      </w:pPr>
      <w:r>
        <w:t xml:space="preserve">Core-transient</w:t>
      </w:r>
    </w:p>
    <w:p>
      <w:pPr>
        <w:pStyle w:val="Compact"/>
        <w:numPr>
          <w:numId w:val="1031"/>
          <w:ilvl w:val="1"/>
        </w:numPr>
      </w:pPr>
      <w:r>
        <w:t xml:space="preserve">We run this pipeline on the whole dataset, and using just core species (those present in &gt;= 2/3 of timesteps).</w:t>
      </w:r>
    </w:p>
    <w:p>
      <w:pPr>
        <w:pStyle w:val="Compact"/>
        <w:numPr>
          <w:numId w:val="1031"/>
          <w:ilvl w:val="1"/>
        </w:numPr>
      </w:pPr>
      <w:r>
        <w:t xml:space="preserve">We also explore a null model in which we restrict to the same richness as the core species richness but draw a random set of species.</w:t>
      </w:r>
    </w:p>
    <w:p>
      <w:r>
        <w:br w:type="page"/>
      </w:r>
    </w:p>
    <w:p>
      <w:pPr>
        <w:pStyle w:val="Heading1"/>
      </w:pPr>
      <w:bookmarkStart w:id="33" w:name="references"/>
      <w:r>
        <w:t xml:space="preserve">References</w:t>
      </w:r>
      <w:bookmarkEnd w:id="33"/>
    </w:p>
    <w:bookmarkStart w:id="61" w:name="refs"/>
    <w:bookmarkStart w:id="34" w:name="ref-connolly2005"/>
    <w:p>
      <w:pPr>
        <w:pStyle w:val="Bibliography"/>
      </w:pPr>
      <w:r>
        <w:t xml:space="preserve">Connolly, S. R., T. P. Hughes, D. R. Bellwood, and R. H. Karlson. 2005. Community Structure of Corals and Reef Fishes at Multiple Scales. Science 309:1363–1365.</w:t>
      </w:r>
    </w:p>
    <w:bookmarkEnd w:id="34"/>
    <w:bookmarkStart w:id="35"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35"/>
    <w:bookmarkStart w:id="36"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36"/>
    <w:bookmarkStart w:id="37" w:name="ref-dornelas2011"/>
    <w:p>
      <w:pPr>
        <w:pStyle w:val="Bibliography"/>
      </w:pPr>
      <w:r>
        <w:t xml:space="preserve">Dornelas, M., D. A. T. Phillip, and A. E. Magurran. 2011. Abundance and dominance become less predictable as species richness decreases. Global Ecology and Biogeography 20:832–841.</w:t>
      </w:r>
    </w:p>
    <w:bookmarkEnd w:id="37"/>
    <w:bookmarkStart w:id="38" w:name="ref-ernest2005"/>
    <w:p>
      <w:pPr>
        <w:pStyle w:val="Bibliography"/>
      </w:pPr>
      <w:r>
        <w:t xml:space="preserve">Ernest, S. K. M. 2005. Body size, energy use, and community structure of small mammals. Ecology 86:1407–1413.</w:t>
      </w:r>
    </w:p>
    <w:bookmarkEnd w:id="38"/>
    <w:bookmarkStart w:id="39" w:name="ref-ernest2009"/>
    <w:p>
      <w:pPr>
        <w:pStyle w:val="Bibliography"/>
      </w:pPr>
      <w:r>
        <w:t xml:space="preserve">Ernest, S. K. M., E. P. White, and J. H. Brown. 2009. Changes in a tropical forest support metabolic zero-sum dynamics. Ecology Letters 12:507–515.</w:t>
      </w:r>
    </w:p>
    <w:bookmarkEnd w:id="39"/>
    <w:bookmarkStart w:id="40" w:name="ref-fisher2010"/>
    <w:p>
      <w:pPr>
        <w:pStyle w:val="Bibliography"/>
      </w:pPr>
      <w:r>
        <w:t xml:space="preserve">Fisher, J. A. D., K. T. Frank, and W. C. Leggett. 2010. Dynamic macroecology on ecological time-scales. Global Ecology and Biogeography 19:1–15.</w:t>
      </w:r>
    </w:p>
    <w:bookmarkEnd w:id="40"/>
    <w:bookmarkStart w:id="41" w:name="ref-fristoe2015"/>
    <w:p>
      <w:pPr>
        <w:pStyle w:val="Bibliography"/>
      </w:pPr>
      <w:r>
        <w:t xml:space="preserve">Fristoe, T. S. 2015. Energy use by migrants and residents in North American breeding bird communities. Global Ecology and Biogeography 24:406–415.</w:t>
      </w:r>
    </w:p>
    <w:bookmarkEnd w:id="41"/>
    <w:bookmarkStart w:id="42" w:name="ref-gardner2011"/>
    <w:p>
      <w:pPr>
        <w:pStyle w:val="Bibliography"/>
      </w:pPr>
      <w:r>
        <w:t xml:space="preserve">Gardner, J. L., A. Peters, M. R. Kearney, L. Joseph, and R. Heinsohn. 2011. Declining body size: A third universal response to warming? Trends in Ecology &amp; Evolution 26:285–291.</w:t>
      </w:r>
    </w:p>
    <w:bookmarkEnd w:id="42"/>
    <w:bookmarkStart w:id="43" w:name="ref-gotelli2017"/>
    <w:p>
      <w:pPr>
        <w:pStyle w:val="Bibliography"/>
      </w:pPr>
      <w:r>
        <w:t xml:space="preserve">Gotelli, N. J., H. Shimadzu, M. Dornelas, B. McGill, F. Moyes, and A. E. Magurran. 2017. Community-level regulation of temporal trends in biodiversity. Science Advances 3:e1700315.</w:t>
      </w:r>
    </w:p>
    <w:bookmarkEnd w:id="43"/>
    <w:bookmarkStart w:id="44"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44"/>
    <w:bookmarkStart w:id="45"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45"/>
    <w:bookmarkStart w:id="46" w:name="ref-holling1992"/>
    <w:p>
      <w:pPr>
        <w:pStyle w:val="Bibliography"/>
      </w:pPr>
      <w:r>
        <w:t xml:space="preserve">Holling, C. S. 1992. Cross-Scale Morphology, Geometry, and Dynamics of Ecosystems. Ecological Monographs 62:447–502.</w:t>
      </w:r>
    </w:p>
    <w:bookmarkEnd w:id="46"/>
    <w:bookmarkStart w:id="47" w:name="ref-macgregor2019"/>
    <w:p>
      <w:pPr>
        <w:pStyle w:val="Bibliography"/>
      </w:pPr>
      <w:r>
        <w:t xml:space="preserve">Macgregor, C. J., J. H. Williams, J. R. Bell, and C. D. Thomas. 2019. Moth biomass increases and decreases over 50 years in Britain. Nature Ecology &amp; Evolution 3:1645–1649.</w:t>
      </w:r>
    </w:p>
    <w:bookmarkEnd w:id="47"/>
    <w:bookmarkStart w:id="48" w:name="ref-mcgill2015"/>
    <w:p>
      <w:pPr>
        <w:pStyle w:val="Bibliography"/>
      </w:pPr>
      <w:r>
        <w:t xml:space="preserve">McGill, B. J., M. Dornelas, N. J. Gotelli, and A. E. Magurran. 2015. Fifteen forms of biodiversity trend in the Anthropocene. Trends in Ecology &amp; Evolution 30:104–113.</w:t>
      </w:r>
    </w:p>
    <w:bookmarkEnd w:id="48"/>
    <w:bookmarkStart w:id="49"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49"/>
    <w:bookmarkStart w:id="50" w:name="ref-petchey2010"/>
    <w:p>
      <w:pPr>
        <w:pStyle w:val="Bibliography"/>
      </w:pPr>
      <w:r>
        <w:t xml:space="preserve">Petchey, O. L., and A. Belgrano. 2010. Body-size distributions and size-spectra: Universal indicators of ecological status? Biology Letters 6:434–437.</w:t>
      </w:r>
    </w:p>
    <w:bookmarkEnd w:id="50"/>
    <w:bookmarkStart w:id="51"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51"/>
    <w:bookmarkStart w:id="52" w:name="ref-schmitz2018"/>
    <w:p>
      <w:pPr>
        <w:pStyle w:val="Bibliography"/>
      </w:pPr>
      <w:r>
        <w:t xml:space="preserve">Schmitz, O. J., C. C. Wilmers, S. J. Leroux, C. E. Doughty, T. B. Atwood, M. Galetti, A. B. Davies, and S. J. Goetz. 2018. Animals and the zoogeochemistry of the carbon cycle. Science.</w:t>
      </w:r>
    </w:p>
    <w:bookmarkEnd w:id="52"/>
    <w:bookmarkStart w:id="53" w:name="ref-smith2018"/>
    <w:p>
      <w:pPr>
        <w:pStyle w:val="Bibliography"/>
      </w:pPr>
      <w:r>
        <w:t xml:space="preserve">Smith, F. A., R. E. Elliott Smith, S. K. Lyons, and J. L. Payne. 2018. Body size downgrading of mammals over the late Quaternary. Science 360:310–313.</w:t>
      </w:r>
    </w:p>
    <w:bookmarkEnd w:id="53"/>
    <w:bookmarkStart w:id="54"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54"/>
    <w:bookmarkStart w:id="55" w:name="ref-thibault2011"/>
    <w:p>
      <w:pPr>
        <w:pStyle w:val="Bibliography"/>
      </w:pPr>
      <w:r>
        <w:t xml:space="preserve">Thibault, K. M., E. P. White, A. H. Hurlbert, and S. K. M. Ernest. 2011. Multimodality in the individual size distributions of bird communities. Global Ecology and Biogeography 20:145–153.</w:t>
      </w:r>
    </w:p>
    <w:bookmarkEnd w:id="55"/>
    <w:bookmarkStart w:id="56" w:name="ref-warwick1994"/>
    <w:p>
      <w:pPr>
        <w:pStyle w:val="Bibliography"/>
      </w:pPr>
      <w:r>
        <w:t xml:space="preserve">Warwick, R. M., and K. R. Clarke. 1994. Relearning the ABC: Taxonomic changes and abundance/biomass relationships in disturbed benthic communities. Marine Biology 118:739–744.</w:t>
      </w:r>
    </w:p>
    <w:bookmarkEnd w:id="56"/>
    <w:bookmarkStart w:id="57" w:name="ref-white2007"/>
    <w:p>
      <w:pPr>
        <w:pStyle w:val="Bibliography"/>
      </w:pPr>
      <w:r>
        <w:t xml:space="preserve">White, E. P., S. K. M. Ernest, A. J. Kerkhoff, and B. J. Enquist. 2007. Relationships between body size and abundance in ecology. Trends in Ecology &amp; Evolution 22:323–330.</w:t>
      </w:r>
    </w:p>
    <w:bookmarkEnd w:id="57"/>
    <w:bookmarkStart w:id="58" w:name="ref-white2004"/>
    <w:p>
      <w:pPr>
        <w:pStyle w:val="Bibliography"/>
      </w:pPr>
      <w:r>
        <w:t xml:space="preserve">White, E. P., S. K. M. Ernest, and K. M. Thibault. 2004. Trade‐offs in Community Properties through Time in a Desert Rodent Community. The American Naturalist 164:670–676.</w:t>
      </w:r>
    </w:p>
    <w:bookmarkEnd w:id="58"/>
    <w:bookmarkStart w:id="59"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59"/>
    <w:bookmarkStart w:id="60" w:name="ref-young2016"/>
    <w:p>
      <w:pPr>
        <w:pStyle w:val="Bibliography"/>
      </w:pPr>
      <w:r>
        <w:t xml:space="preserve">Young, H. S., D. J. McCauley, M. Galetti, and R. Dirzo. 2016. Patterns, Causes, and Consequences of Anthropocene Defaunation. Annual Review of Ecology, Evolution, and Systematics 47:333–358.</w:t>
      </w:r>
    </w:p>
    <w:bookmarkEnd w:id="60"/>
    <w:bookmarkEnd w:id="61"/>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8" Target="https://github.com/diazrenata/redwing/blob/resim-cleanup/aspirational_structure/methods_vignettes/change_over_time/02_01_change_over_time_sims.md" TargetMode="External" /><Relationship Type="http://schemas.openxmlformats.org/officeDocument/2006/relationships/hyperlink" Id="rId32" Target="https://github.com/diazrenata/redwing/blob/resim-cleanup/aspirational_structure/methods_vignettes/change_over_time/02_02_testing_change.md"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diazrenata/redwing/blob/resim-cleanup/aspirational_structure/methods_vignettes/change_over_time/02_01_change_over_time_sims.md" TargetMode="External" /><Relationship Type="http://schemas.openxmlformats.org/officeDocument/2006/relationships/hyperlink" Id="rId32" Target="https://github.com/diazrenata/redwing/blob/resim-cleanup/aspirational_structure/methods_vignettes/change_over_time/02_02_testing_chan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2021-11-12T23:01:34Z</dcterms:created>
  <dcterms:modified xsi:type="dcterms:W3CDTF">2021-11-12T23:01:34Z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