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Upon publication, all code and data will be archived and made publicly available via Zenodo.</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7FCA04DC"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ins w:id="0" w:author="Diaz,Renata M" w:date="2021-01-15T12:53:00Z">
        <w:r w:rsidR="005663E4">
          <w:rPr>
            <w:rFonts w:asciiTheme="majorHAnsi" w:eastAsia="Times New Roman" w:hAnsiTheme="majorHAnsi" w:cstheme="majorHAnsi"/>
          </w:rPr>
          <w:t>8</w:t>
        </w:r>
      </w:ins>
      <w:del w:id="1" w:author="Diaz,Renata M" w:date="2021-01-15T12:53:00Z">
        <w:r w:rsidR="00CF15CC" w:rsidDel="005663E4">
          <w:rPr>
            <w:rFonts w:asciiTheme="majorHAnsi" w:eastAsia="Times New Roman" w:hAnsiTheme="majorHAnsi" w:cstheme="majorHAnsi"/>
          </w:rPr>
          <w:delText>7</w:delText>
        </w:r>
      </w:del>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ins w:id="2" w:author="Diaz,Renata M" w:date="2021-01-15T12:53:00Z">
        <w:r w:rsidR="00DB7D87">
          <w:rPr>
            <w:rFonts w:asciiTheme="majorHAnsi" w:eastAsia="Times New Roman" w:hAnsiTheme="majorHAnsi" w:cstheme="majorHAnsi"/>
          </w:rPr>
          <w:t>196</w:t>
        </w:r>
      </w:ins>
      <w:del w:id="3" w:author="Diaz,Renata M" w:date="2021-01-15T12:53:00Z">
        <w:r w:rsidR="003565A4" w:rsidDel="00DB7D87">
          <w:rPr>
            <w:rFonts w:asciiTheme="majorHAnsi" w:eastAsia="Times New Roman" w:hAnsiTheme="majorHAnsi" w:cstheme="majorHAnsi"/>
          </w:rPr>
          <w:delText>376</w:delText>
        </w:r>
      </w:del>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53C91A8A"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24,500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77EC4CC6"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r w:rsidR="00543CD9">
        <w:rPr>
          <w:rFonts w:asciiTheme="majorHAnsi" w:eastAsia="Times New Roman" w:hAnsiTheme="majorHAnsi" w:cstheme="majorHAnsi"/>
        </w:rPr>
        <w:t>i.e.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Locey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 xml:space="preserve">of S and N (Locey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136D8529" w:rsidR="00001B71"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r w:rsidR="003E6EA5">
        <w:rPr>
          <w:rFonts w:asciiTheme="majorHAnsi" w:eastAsia="Times New Roman" w:hAnsiTheme="majorHAnsi" w:cstheme="majorHAnsi"/>
        </w:rPr>
        <w:t>We also removed from our analyses any communities</w:t>
      </w:r>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r w:rsidR="001B6DA3">
        <w:rPr>
          <w:rFonts w:asciiTheme="majorHAnsi" w:eastAsia="Times New Roman" w:hAnsiTheme="majorHAnsi" w:cstheme="majorHAnsi"/>
        </w:rPr>
        <w:t xml:space="preserve"> mathematically</w:t>
      </w:r>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6E7EBD">
        <w:rPr>
          <w:rFonts w:asciiTheme="majorHAnsi" w:eastAsia="Times New Roman" w:hAnsiTheme="majorHAnsi" w:cstheme="majorHAnsi"/>
        </w:rPr>
        <w:t xml:space="preserve"> (see Figure </w:t>
      </w:r>
      <w:del w:id="4" w:author="Diaz,Renata M" w:date="2021-01-15T12:00:00Z">
        <w:r w:rsidR="006E7EBD" w:rsidDel="004B6D6B">
          <w:rPr>
            <w:rFonts w:asciiTheme="majorHAnsi" w:eastAsia="Times New Roman" w:hAnsiTheme="majorHAnsi" w:cstheme="majorHAnsi"/>
          </w:rPr>
          <w:delText xml:space="preserve">F1 </w:delText>
        </w:r>
      </w:del>
      <w:ins w:id="5" w:author="Diaz,Renata M" w:date="2021-01-15T12:00:00Z">
        <w:r w:rsidR="004B6D6B">
          <w:rPr>
            <w:rFonts w:asciiTheme="majorHAnsi" w:eastAsia="Times New Roman" w:hAnsiTheme="majorHAnsi" w:cstheme="majorHAnsi"/>
          </w:rPr>
          <w:t>S</w:t>
        </w:r>
        <w:r w:rsidR="004B6D6B">
          <w:rPr>
            <w:rFonts w:asciiTheme="majorHAnsi" w:eastAsia="Times New Roman" w:hAnsiTheme="majorHAnsi" w:cstheme="majorHAnsi"/>
          </w:rPr>
          <w:t xml:space="preserve">1 </w:t>
        </w:r>
      </w:ins>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ED668CE"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ins w:id="6" w:author="Diaz,Renata M" w:date="2021-01-15T12:01:00Z">
        <w:r w:rsidR="000B6CE8">
          <w:rPr>
            <w:rFonts w:asciiTheme="majorHAnsi" w:eastAsia="Times New Roman" w:hAnsiTheme="majorHAnsi" w:cstheme="majorHAnsi"/>
          </w:rPr>
          <w:t>“</w:t>
        </w:r>
      </w:ins>
      <w:r w:rsidR="00A24713" w:rsidRPr="003052E4">
        <w:rPr>
          <w:rFonts w:asciiTheme="majorHAnsi" w:eastAsia="Times New Roman" w:hAnsiTheme="majorHAnsi" w:cstheme="majorHAnsi"/>
        </w:rPr>
        <w:t>feasible set</w:t>
      </w:r>
      <w:ins w:id="7" w:author="Diaz,Renata M" w:date="2021-01-15T12:01:00Z">
        <w:r w:rsidR="000B6CE8">
          <w:rPr>
            <w:rFonts w:asciiTheme="majorHAnsi" w:eastAsia="Times New Roman" w:hAnsiTheme="majorHAnsi" w:cstheme="majorHAnsi"/>
          </w:rPr>
          <w:t>”</w:t>
        </w:r>
      </w:ins>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as 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7FE0C548"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w:t>
      </w:r>
      <w:r w:rsidR="00425C14" w:rsidRPr="002E2A57">
        <w:rPr>
          <w:rFonts w:asciiTheme="majorHAnsi" w:eastAsia="Times New Roman" w:hAnsiTheme="majorHAnsi" w:cstheme="majorHAnsi"/>
        </w:rPr>
        <w:lastRenderedPageBreak/>
        <w:t xml:space="preserve">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0B6CE8">
        <w:rPr>
          <w:rFonts w:asciiTheme="majorHAnsi" w:eastAsia="Times New Roman" w:hAnsiTheme="majorHAnsi" w:cstheme="majorHAnsi"/>
          <w:i/>
          <w:iCs/>
          <w:rPrChange w:id="8" w:author="Diaz,Renata M" w:date="2021-01-15T12:01:00Z">
            <w:rPr>
              <w:rFonts w:asciiTheme="majorHAnsi" w:eastAsia="Times New Roman" w:hAnsiTheme="majorHAnsi" w:cstheme="majorHAnsi"/>
            </w:rPr>
          </w:rPrChange>
        </w:rPr>
        <w:t xml:space="preserve">S </w:t>
      </w:r>
      <w:r w:rsidR="00CD7BFB" w:rsidRPr="002E2A57">
        <w:rPr>
          <w:rFonts w:asciiTheme="majorHAnsi" w:eastAsia="Times New Roman" w:hAnsiTheme="majorHAnsi" w:cstheme="majorHAnsi"/>
        </w:rPr>
        <w:t xml:space="preserve">and </w:t>
      </w:r>
      <w:r w:rsidR="00CD7BFB" w:rsidRPr="000B6CE8">
        <w:rPr>
          <w:rFonts w:asciiTheme="majorHAnsi" w:eastAsia="Times New Roman" w:hAnsiTheme="majorHAnsi" w:cstheme="majorHAnsi"/>
          <w:i/>
          <w:iCs/>
          <w:rPrChange w:id="9" w:author="Diaz,Renata M" w:date="2021-01-15T12:01:00Z">
            <w:rPr>
              <w:rFonts w:asciiTheme="majorHAnsi" w:eastAsia="Times New Roman" w:hAnsiTheme="majorHAnsi" w:cstheme="majorHAnsi"/>
            </w:rPr>
          </w:rPrChange>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w:t>
      </w:r>
      <w:del w:id="10" w:author="Diaz,Renata M" w:date="2021-01-15T12:01:00Z">
        <w:r w:rsidR="00273062" w:rsidDel="006F05CF">
          <w:rPr>
            <w:rFonts w:asciiTheme="majorHAnsi" w:eastAsia="Times New Roman" w:hAnsiTheme="majorHAnsi" w:cstheme="majorHAnsi"/>
          </w:rPr>
          <w:delText xml:space="preserve">remaining </w:delText>
        </w:r>
      </w:del>
      <w:r w:rsidR="00273062">
        <w:rPr>
          <w:rFonts w:asciiTheme="majorHAnsi" w:eastAsia="Times New Roman" w:hAnsiTheme="majorHAnsi" w:cstheme="majorHAnsi"/>
        </w:rPr>
        <w:t>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1728E446" w:rsidR="00D7407E" w:rsidRPr="002E2A57" w:rsidRDefault="000E6F71"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w:t>
      </w:r>
      <w:r w:rsidR="009C200A">
        <w:rPr>
          <w:rFonts w:asciiTheme="majorHAnsi" w:eastAsia="Times New Roman" w:hAnsiTheme="majorHAnsi" w:cstheme="majorHAnsi"/>
        </w:rPr>
        <w:t>f all SADs in a feasible set are equally likely to occur</w:t>
      </w:r>
      <w:r w:rsidRPr="002E2A57">
        <w:rPr>
          <w:rFonts w:asciiTheme="majorHAnsi" w:eastAsia="Times New Roman" w:hAnsiTheme="majorHAnsi" w:cstheme="majorHAnsi"/>
        </w:rPr>
        <w:t>,</w:t>
      </w:r>
      <w:r w:rsidR="009F39F2">
        <w:rPr>
          <w:rFonts w:asciiTheme="majorHAnsi" w:eastAsia="Times New Roman" w:hAnsiTheme="majorHAnsi" w:cstheme="majorHAnsi"/>
        </w:rPr>
        <w:t xml:space="preserve"> then</w:t>
      </w:r>
      <w:r w:rsidRPr="002E2A57">
        <w:rPr>
          <w:rFonts w:asciiTheme="majorHAnsi" w:eastAsia="Times New Roman" w:hAnsiTheme="majorHAnsi" w:cstheme="majorHAnsi"/>
        </w:rPr>
        <w:t xml:space="preserve"> an SAD with a particular </w:t>
      </w:r>
      <w:r w:rsidRPr="003052E4">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r w:rsidR="00847018">
        <w:rPr>
          <w:rFonts w:asciiTheme="majorHAnsi" w:eastAsia="Times New Roman" w:hAnsiTheme="majorHAnsi" w:cstheme="majorHAnsi"/>
        </w:rPr>
        <w:t xml:space="preserve">is likely to have a shape similar to the shape that is most common among the SADs in </w:t>
      </w:r>
      <w:r>
        <w:rPr>
          <w:rFonts w:asciiTheme="majorHAnsi" w:eastAsia="Times New Roman" w:hAnsiTheme="majorHAnsi" w:cstheme="majorHAnsi"/>
        </w:rPr>
        <w:t xml:space="preserve">the feasible set for the same </w:t>
      </w:r>
      <w:r w:rsidRPr="003052E4">
        <w:rPr>
          <w:rFonts w:asciiTheme="majorHAnsi" w:eastAsia="Times New Roman" w:hAnsiTheme="majorHAnsi" w:cstheme="majorHAnsi"/>
          <w:i/>
          <w:iCs/>
        </w:rPr>
        <w:t xml:space="preserve">S </w:t>
      </w:r>
      <w:r>
        <w:rPr>
          <w:rFonts w:asciiTheme="majorHAnsi" w:eastAsia="Times New Roman" w:hAnsiTheme="majorHAnsi" w:cstheme="majorHAnsi"/>
        </w:rPr>
        <w:lastRenderedPageBreak/>
        <w:t xml:space="preserve">and </w:t>
      </w:r>
      <w:r w:rsidR="00446C37">
        <w:rPr>
          <w:rFonts w:asciiTheme="majorHAnsi" w:eastAsia="Times New Roman" w:hAnsiTheme="majorHAnsi" w:cstheme="majorHAnsi"/>
          <w:i/>
          <w:iCs/>
        </w:rPr>
        <w:t>N</w:t>
      </w:r>
      <w:r w:rsidR="00E50333">
        <w:rPr>
          <w:rFonts w:asciiTheme="majorHAnsi" w:eastAsia="Times New Roman" w:hAnsiTheme="majorHAnsi" w:cstheme="majorHAnsi"/>
        </w:rPr>
        <w:t xml:space="preserve">; in contrast, </w:t>
      </w:r>
      <w:r w:rsidR="00847018">
        <w:rPr>
          <w:rFonts w:asciiTheme="majorHAnsi" w:eastAsia="Times New Roman" w:hAnsiTheme="majorHAnsi" w:cstheme="majorHAnsi"/>
        </w:rPr>
        <w:t>strong processes may cause observed SADs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33109D">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general shape (i.e. evenness or skewness) </w:t>
      </w:r>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r w:rsidR="007873FC">
        <w:rPr>
          <w:rFonts w:asciiTheme="majorHAnsi" w:eastAsia="Times New Roman" w:hAnsiTheme="majorHAnsi" w:cstheme="majorHAnsi"/>
        </w:rPr>
        <w:t>et al.</w:t>
      </w:r>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xml:space="preserve">, and we </w:t>
      </w:r>
      <w:r w:rsidR="0036516C">
        <w:rPr>
          <w:rFonts w:asciiTheme="majorHAnsi" w:eastAsia="Times New Roman" w:hAnsiTheme="majorHAnsi" w:cstheme="majorHAnsi"/>
        </w:rPr>
        <w:t xml:space="preserve">therefore </w:t>
      </w:r>
      <w:r w:rsidR="00D7407E" w:rsidRPr="002E2A57">
        <w:rPr>
          <w:rFonts w:asciiTheme="majorHAnsi" w:eastAsia="Times New Roman" w:hAnsiTheme="majorHAnsi" w:cstheme="majorHAnsi"/>
        </w:rPr>
        <w:t>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r w:rsidR="00C222B5">
        <w:rPr>
          <w:rFonts w:asciiTheme="majorHAnsi" w:eastAsia="Times New Roman" w:hAnsiTheme="majorHAnsi" w:cstheme="majorHAnsi"/>
        </w:rPr>
        <w:t xml:space="preserve"> (but included those communities for analyses using Simpson’s evenness)</w:t>
      </w:r>
      <w:r w:rsidR="00D7407E" w:rsidRPr="002E2A57">
        <w:rPr>
          <w:rFonts w:asciiTheme="majorHAnsi" w:eastAsia="Times New Roman" w:hAnsiTheme="majorHAnsi" w:cstheme="majorHAnsi"/>
        </w:rPr>
        <w:t xml:space="preserve">. </w:t>
      </w:r>
    </w:p>
    <w:p w14:paraId="57C8202C" w14:textId="1720FED6"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w:t>
      </w:r>
      <w:r w:rsidR="003723E5">
        <w:rPr>
          <w:rFonts w:asciiTheme="majorHAnsi" w:eastAsia="Times New Roman" w:hAnsiTheme="majorHAnsi" w:cstheme="majorHAnsi"/>
        </w:rPr>
        <w:t xml:space="preserve">then </w:t>
      </w:r>
      <w:r w:rsidR="00AD6291" w:rsidRPr="002E2A57">
        <w:rPr>
          <w:rFonts w:asciiTheme="majorHAnsi" w:eastAsia="Times New Roman" w:hAnsiTheme="majorHAnsi" w:cstheme="majorHAnsi"/>
        </w:rPr>
        <w:t xml:space="preserve">comparable across different community sizes, allowing broad-scale assessment across wide ranges of </w:t>
      </w:r>
      <w:r w:rsidR="00AD6291" w:rsidRPr="006F05CF">
        <w:rPr>
          <w:rFonts w:asciiTheme="majorHAnsi" w:eastAsia="Times New Roman" w:hAnsiTheme="majorHAnsi" w:cstheme="majorHAnsi"/>
          <w:i/>
          <w:iCs/>
          <w:rPrChange w:id="11" w:author="Diaz,Renata M" w:date="2021-01-15T12:03:00Z">
            <w:rPr>
              <w:rFonts w:asciiTheme="majorHAnsi" w:eastAsia="Times New Roman" w:hAnsiTheme="majorHAnsi" w:cstheme="majorHAnsi"/>
            </w:rPr>
          </w:rPrChange>
        </w:rPr>
        <w:t>S</w:t>
      </w:r>
      <w:r w:rsidR="00AD6291" w:rsidRPr="002E2A57">
        <w:rPr>
          <w:rFonts w:asciiTheme="majorHAnsi" w:eastAsia="Times New Roman" w:hAnsiTheme="majorHAnsi" w:cstheme="majorHAnsi"/>
        </w:rPr>
        <w:t xml:space="preserve"> and </w:t>
      </w:r>
      <w:r w:rsidR="00AD6291" w:rsidRPr="006F05CF">
        <w:rPr>
          <w:rFonts w:asciiTheme="majorHAnsi" w:eastAsia="Times New Roman" w:hAnsiTheme="majorHAnsi" w:cstheme="majorHAnsi"/>
          <w:i/>
          <w:iCs/>
          <w:rPrChange w:id="12" w:author="Diaz,Renata M" w:date="2021-01-15T12:03:00Z">
            <w:rPr>
              <w:rFonts w:asciiTheme="majorHAnsi" w:eastAsia="Times New Roman" w:hAnsiTheme="majorHAnsi" w:cstheme="majorHAnsi"/>
            </w:rPr>
          </w:rPrChange>
        </w:rPr>
        <w:t>N</w:t>
      </w:r>
      <w:r w:rsidR="00AD6291" w:rsidRPr="002E2A57">
        <w:rPr>
          <w:rFonts w:asciiTheme="majorHAnsi" w:eastAsia="Times New Roman" w:hAnsiTheme="majorHAnsi" w:cstheme="majorHAnsi"/>
        </w:rPr>
        <w:t xml:space="preserve">.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del w:id="13" w:author="Diaz,Renata M" w:date="2021-01-15T12:03:00Z">
        <w:r w:rsidR="00D83C6C" w:rsidDel="007D08D6">
          <w:rPr>
            <w:rFonts w:asciiTheme="majorHAnsi" w:eastAsia="Times New Roman" w:hAnsiTheme="majorHAnsi" w:cstheme="majorHAnsi"/>
          </w:rPr>
          <w:delText>community abundance</w:delText>
        </w:r>
      </w:del>
      <w:ins w:id="14" w:author="Diaz,Renata M" w:date="2021-01-15T12:03:00Z">
        <w:r w:rsidR="007D08D6">
          <w:rPr>
            <w:rFonts w:asciiTheme="majorHAnsi" w:eastAsia="Times New Roman" w:hAnsiTheme="majorHAnsi" w:cstheme="majorHAnsi"/>
          </w:rPr>
          <w:t>observed SADs</w:t>
        </w:r>
      </w:ins>
      <w:r w:rsidR="00D83C6C">
        <w:rPr>
          <w:rFonts w:asciiTheme="majorHAnsi" w:eastAsia="Times New Roman" w:hAnsiTheme="majorHAnsi" w:cstheme="majorHAnsi"/>
        </w:rPr>
        <w:t xml:space="preserve"> </w:t>
      </w:r>
      <w:del w:id="15" w:author="Diaz,Renata M" w:date="2021-01-15T12:03:00Z">
        <w:r w:rsidR="00D83C6C" w:rsidDel="007D08D6">
          <w:rPr>
            <w:rFonts w:asciiTheme="majorHAnsi" w:eastAsia="Times New Roman" w:hAnsiTheme="majorHAnsi" w:cstheme="majorHAnsi"/>
          </w:rPr>
          <w:delText xml:space="preserve">distributions </w:delText>
        </w:r>
      </w:del>
      <w:r w:rsidR="00D83C6C">
        <w:rPr>
          <w:rFonts w:asciiTheme="majorHAnsi" w:eastAsia="Times New Roman" w:hAnsiTheme="majorHAnsi" w:cstheme="majorHAnsi"/>
        </w:rPr>
        <w:t>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(Locey and White 2013) found that the tendency is for empirical SAD</w:t>
      </w:r>
      <w:ins w:id="16" w:author="Diaz,Renata M" w:date="2021-01-15T12:03:00Z">
        <w:r w:rsidR="007D08D6">
          <w:rPr>
            <w:rFonts w:asciiTheme="majorHAnsi" w:eastAsia="Times New Roman" w:hAnsiTheme="majorHAnsi" w:cstheme="majorHAnsi"/>
          </w:rPr>
          <w:t>s</w:t>
        </w:r>
      </w:ins>
      <w:r w:rsidR="004D40A4">
        <w:rPr>
          <w:rFonts w:asciiTheme="majorHAnsi" w:eastAsia="Times New Roman" w:hAnsiTheme="majorHAnsi" w:cstheme="majorHAnsi"/>
        </w:rPr>
        <w:t xml:space="preserve">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w:t>
      </w:r>
      <w:r w:rsidR="00AD7D72">
        <w:rPr>
          <w:rFonts w:asciiTheme="majorHAnsi" w:eastAsia="Times New Roman" w:hAnsiTheme="majorHAnsi" w:cstheme="majorHAnsi"/>
        </w:rPr>
        <w:lastRenderedPageBreak/>
        <w:t>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088E8470"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sidR="006F1858">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5C99C1B1" w:rsidR="007E2092" w:rsidRPr="006361DB" w:rsidRDefault="007E2092" w:rsidP="00021897">
      <w:pPr>
        <w:spacing w:line="480" w:lineRule="auto"/>
        <w:rPr>
          <w:rFonts w:asciiTheme="majorHAnsi" w:eastAsia="Times New Roman" w:hAnsiTheme="majorHAnsi" w:cstheme="majorHAnsi"/>
        </w:rPr>
      </w:pPr>
      <w:r w:rsidRPr="006361DB">
        <w:rPr>
          <w:rFonts w:asciiTheme="majorHAnsi" w:eastAsia="Times New Roman" w:hAnsiTheme="majorHAnsi" w:cstheme="majorHAnsi"/>
        </w:rPr>
        <w:t>For four of the five datasets we analyzed – BBS, Gentry, Mammal Communities, and Misc. Abund – empirical SADs are highly skewed and highly uneven relative to their feasible sets</w:t>
      </w:r>
      <w:r w:rsidR="003725E8" w:rsidRPr="006361DB">
        <w:rPr>
          <w:rFonts w:asciiTheme="majorHAnsi" w:eastAsia="Times New Roman" w:hAnsiTheme="majorHAnsi" w:cstheme="majorHAnsi"/>
        </w:rPr>
        <w:t>,</w:t>
      </w:r>
      <w:r w:rsidRPr="006361DB">
        <w:rPr>
          <w:rFonts w:asciiTheme="majorHAnsi" w:eastAsia="Times New Roman" w:hAnsiTheme="majorHAnsi" w:cstheme="majorHAnsi"/>
        </w:rPr>
        <w:t xml:space="preserve"> much more frequently than would be expected by </w:t>
      </w:r>
      <w:r w:rsidR="00296501">
        <w:rPr>
          <w:rFonts w:asciiTheme="majorHAnsi" w:eastAsia="Times New Roman" w:hAnsiTheme="majorHAnsi" w:cstheme="majorHAnsi"/>
        </w:rPr>
        <w:t>chance (Figure 2, Table</w:t>
      </w:r>
      <w:r w:rsidR="004F4A2A">
        <w:rPr>
          <w:rFonts w:asciiTheme="majorHAnsi" w:eastAsia="Times New Roman" w:hAnsiTheme="majorHAnsi" w:cstheme="majorHAnsi"/>
        </w:rPr>
        <w:t xml:space="preserve"> </w:t>
      </w:r>
      <w:r w:rsidR="00842F93">
        <w:rPr>
          <w:rFonts w:asciiTheme="majorHAnsi" w:eastAsia="Times New Roman" w:hAnsiTheme="majorHAnsi" w:cstheme="majorHAnsi"/>
        </w:rPr>
        <w:t>1</w:t>
      </w:r>
      <w:r w:rsidR="0090343F" w:rsidRPr="006361DB">
        <w:rPr>
          <w:rFonts w:asciiTheme="majorHAnsi" w:eastAsia="Times New Roman" w:hAnsiTheme="majorHAnsi" w:cstheme="majorHAnsi"/>
        </w:rPr>
        <w:t>)</w:t>
      </w:r>
      <w:r w:rsidRPr="006361DB">
        <w:rPr>
          <w:rFonts w:asciiTheme="majorHAnsi" w:eastAsia="Times New Roman" w:hAnsiTheme="majorHAnsi" w:cstheme="majorHAnsi"/>
        </w:rPr>
        <w:t xml:space="preserve">. Combined across these four datasets, 16% of observed </w:t>
      </w:r>
      <w:r w:rsidR="00844B9D">
        <w:rPr>
          <w:rFonts w:asciiTheme="majorHAnsi" w:eastAsia="Times New Roman" w:hAnsiTheme="majorHAnsi" w:cstheme="majorHAnsi"/>
        </w:rPr>
        <w:t>SADs are m</w:t>
      </w:r>
      <w:r w:rsidRPr="006361DB">
        <w:rPr>
          <w:rFonts w:asciiTheme="majorHAnsi" w:eastAsia="Times New Roman" w:hAnsiTheme="majorHAnsi" w:cstheme="majorHAnsi"/>
        </w:rPr>
        <w:t>ore skewed than 95% of their feasible sets, and 31% are less even than 95% of their feasible set</w:t>
      </w:r>
      <w:r w:rsidR="00F76F30" w:rsidRPr="006361DB">
        <w:rPr>
          <w:rFonts w:asciiTheme="majorHAnsi" w:eastAsia="Times New Roman" w:hAnsiTheme="majorHAnsi" w:cstheme="majorHAnsi"/>
        </w:rPr>
        <w:t>s.</w:t>
      </w:r>
      <w:r w:rsidR="00561BB0" w:rsidRPr="006361DB">
        <w:rPr>
          <w:rFonts w:asciiTheme="majorHAnsi" w:eastAsia="Times New Roman" w:hAnsiTheme="majorHAnsi" w:cstheme="majorHAnsi"/>
        </w:rPr>
        <w:t xml:space="preserve"> </w:t>
      </w:r>
      <w:r w:rsidR="00C0595F">
        <w:rPr>
          <w:rFonts w:asciiTheme="majorHAnsi" w:eastAsia="Times New Roman" w:hAnsiTheme="majorHAnsi" w:cstheme="majorHAnsi"/>
        </w:rPr>
        <w:t>For SADs randomly sampled from the feasible set,</w:t>
      </w:r>
      <w:r w:rsidRPr="006361DB">
        <w:rPr>
          <w:rFonts w:asciiTheme="majorHAnsi" w:eastAsia="Times New Roman" w:hAnsiTheme="majorHAnsi" w:cstheme="majorHAnsi"/>
        </w:rPr>
        <w:t xml:space="preserve"> we would expect only 5% of observed distributions to fall in these extremes.</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In</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contrast</w:t>
      </w:r>
      <w:ins w:id="17" w:author="Diaz,Renata M" w:date="2021-01-15T12:04:00Z">
        <w:r w:rsidR="00D64700">
          <w:rPr>
            <w:rFonts w:asciiTheme="majorHAnsi" w:eastAsia="Times New Roman" w:hAnsiTheme="majorHAnsi" w:cstheme="majorHAnsi"/>
          </w:rPr>
          <w:t xml:space="preserve"> to the other datasets</w:t>
        </w:r>
      </w:ins>
      <w:r w:rsidR="00344835">
        <w:rPr>
          <w:rFonts w:asciiTheme="majorHAnsi" w:eastAsia="Times New Roman" w:hAnsiTheme="majorHAnsi" w:cstheme="majorHAnsi"/>
        </w:rPr>
        <w:t>, the SADs fro</w:t>
      </w:r>
      <w:r w:rsidR="005F257E">
        <w:rPr>
          <w:rFonts w:asciiTheme="majorHAnsi" w:eastAsia="Times New Roman" w:hAnsiTheme="majorHAnsi" w:cstheme="majorHAnsi"/>
        </w:rPr>
        <w:t>m the</w:t>
      </w:r>
      <w:r w:rsidR="00C97CB6" w:rsidRPr="006361DB">
        <w:rPr>
          <w:rFonts w:asciiTheme="majorHAnsi" w:eastAsia="Times New Roman" w:hAnsiTheme="majorHAnsi" w:cstheme="majorHAnsi"/>
        </w:rPr>
        <w:t xml:space="preserve"> FIA dataset</w:t>
      </w:r>
      <w:r w:rsidR="00344835">
        <w:rPr>
          <w:rFonts w:asciiTheme="majorHAnsi" w:eastAsia="Times New Roman" w:hAnsiTheme="majorHAnsi" w:cstheme="majorHAnsi"/>
        </w:rPr>
        <w:t xml:space="preserve"> </w:t>
      </w:r>
      <w:r w:rsidR="00344835">
        <w:rPr>
          <w:rFonts w:asciiTheme="majorHAnsi" w:eastAsia="Times New Roman" w:hAnsiTheme="majorHAnsi" w:cstheme="majorHAnsi"/>
        </w:rPr>
        <w:lastRenderedPageBreak/>
        <w:t xml:space="preserve">exhibit percentile scores that are more uniformly distributed: </w:t>
      </w:r>
      <w:r w:rsidR="00C97CB6" w:rsidRPr="006361DB">
        <w:rPr>
          <w:rFonts w:asciiTheme="majorHAnsi" w:eastAsia="Times New Roman" w:hAnsiTheme="majorHAnsi" w:cstheme="majorHAnsi"/>
        </w:rPr>
        <w:t>5% of observations are more skewed than 95% of the</w:t>
      </w:r>
      <w:r w:rsidR="00A80168">
        <w:rPr>
          <w:rFonts w:asciiTheme="majorHAnsi" w:eastAsia="Times New Roman" w:hAnsiTheme="majorHAnsi" w:cstheme="majorHAnsi"/>
        </w:rPr>
        <w:t>ir</w:t>
      </w:r>
      <w:r w:rsidR="00C97CB6" w:rsidRPr="006361DB">
        <w:rPr>
          <w:rFonts w:asciiTheme="majorHAnsi" w:eastAsia="Times New Roman" w:hAnsiTheme="majorHAnsi" w:cstheme="majorHAnsi"/>
        </w:rPr>
        <w:t xml:space="preserve"> feasible set</w:t>
      </w:r>
      <w:r w:rsidR="00A80168">
        <w:rPr>
          <w:rFonts w:asciiTheme="majorHAnsi" w:eastAsia="Times New Roman" w:hAnsiTheme="majorHAnsi" w:cstheme="majorHAnsi"/>
        </w:rPr>
        <w:t>s</w:t>
      </w:r>
      <w:r w:rsidR="00F52768">
        <w:rPr>
          <w:rFonts w:asciiTheme="majorHAnsi" w:eastAsia="Times New Roman" w:hAnsiTheme="majorHAnsi" w:cstheme="majorHAnsi"/>
        </w:rPr>
        <w:t>,</w:t>
      </w:r>
      <w:r w:rsidR="00A80168">
        <w:rPr>
          <w:rFonts w:asciiTheme="majorHAnsi" w:eastAsia="Times New Roman" w:hAnsiTheme="majorHAnsi" w:cstheme="majorHAnsi"/>
        </w:rPr>
        <w:t xml:space="preserve"> and 9% of observations are less even than 95% of their feasible sets.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6CCAC50E" w:rsidR="000F50D3" w:rsidRPr="002E2A57"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ability to detect deviations from the statistical baseline depends on the distribution of SADs in the feasible set. Here, t</w:t>
      </w:r>
      <w:r w:rsidR="00874AA5" w:rsidRPr="002E2A57">
        <w:rPr>
          <w:rFonts w:asciiTheme="majorHAnsi" w:eastAsia="Times New Roman" w:hAnsiTheme="majorHAnsi" w:cstheme="majorHAnsi"/>
        </w:rPr>
        <w:t xml:space="preserve">he statistical </w:t>
      </w:r>
      <w:r w:rsidR="006E2061">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w:t>
      </w:r>
      <w:r w:rsidR="0082454B">
        <w:rPr>
          <w:rFonts w:asciiTheme="majorHAnsi" w:eastAsia="Times New Roman" w:hAnsiTheme="majorHAnsi" w:cstheme="majorHAnsi"/>
        </w:rPr>
        <w:t>becomes more narrowly defined as the size of the</w:t>
      </w:r>
      <w:r w:rsidR="00874AA5" w:rsidRPr="002E2A57">
        <w:rPr>
          <w:rFonts w:asciiTheme="majorHAnsi" w:eastAsia="Times New Roman" w:hAnsiTheme="majorHAnsi" w:cstheme="majorHAnsi"/>
        </w:rPr>
        <w:t xml:space="preserve"> feasible set increases</w:t>
      </w:r>
      <w:r w:rsidR="001C4E1C">
        <w:rPr>
          <w:rFonts w:asciiTheme="majorHAnsi" w:eastAsia="Times New Roman" w:hAnsiTheme="majorHAnsi" w:cstheme="majorHAnsi"/>
        </w:rPr>
        <w:t xml:space="preserve"> (Figure 1; </w:t>
      </w:r>
      <w:r w:rsidR="00397FD1">
        <w:rPr>
          <w:rFonts w:asciiTheme="majorHAnsi" w:eastAsia="Times New Roman" w:hAnsiTheme="majorHAnsi" w:cstheme="majorHAnsi"/>
        </w:rPr>
        <w:t>Figure S</w:t>
      </w:r>
      <w:r w:rsidR="0099534C">
        <w:rPr>
          <w:rFonts w:asciiTheme="majorHAnsi" w:eastAsia="Times New Roman" w:hAnsiTheme="majorHAnsi" w:cstheme="majorHAnsi"/>
        </w:rPr>
        <w:t>5</w:t>
      </w:r>
      <w:r w:rsidR="001C4E1C">
        <w:rPr>
          <w:rFonts w:asciiTheme="majorHAnsi" w:eastAsia="Times New Roman" w:hAnsiTheme="majorHAnsi" w:cstheme="majorHAnsi"/>
        </w:rPr>
        <w:t>)</w:t>
      </w:r>
      <w:r w:rsidR="00F96800">
        <w:rPr>
          <w:rFonts w:asciiTheme="majorHAnsi" w:eastAsia="Times New Roman" w:hAnsiTheme="majorHAnsi" w:cstheme="majorHAnsi"/>
        </w:rPr>
        <w:t>, making even small deviations in skewness or evenness statistically meaningful</w:t>
      </w:r>
      <w:ins w:id="18" w:author="Diaz,Renata M" w:date="2021-01-15T12:05:00Z">
        <w:r w:rsidR="00D64700">
          <w:rPr>
            <w:rFonts w:asciiTheme="majorHAnsi" w:eastAsia="Times New Roman" w:hAnsiTheme="majorHAnsi" w:cstheme="majorHAnsi"/>
          </w:rPr>
          <w:t xml:space="preserve"> and readily detectable</w:t>
        </w:r>
      </w:ins>
      <w:r w:rsidR="00F96800">
        <w:rPr>
          <w:rFonts w:asciiTheme="majorHAnsi" w:eastAsia="Times New Roman" w:hAnsiTheme="majorHAnsi" w:cstheme="majorHAnsi"/>
        </w:rPr>
        <w:t>. However,</w:t>
      </w:r>
      <w:r w:rsidR="006F1C6E" w:rsidRPr="002E2A57">
        <w:rPr>
          <w:rFonts w:asciiTheme="majorHAnsi" w:eastAsia="Times New Roman" w:hAnsiTheme="majorHAnsi" w:cstheme="majorHAnsi"/>
        </w:rPr>
        <w:t xml:space="preserv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r w:rsidR="00B1778D">
        <w:rPr>
          <w:rFonts w:asciiTheme="majorHAnsi" w:eastAsia="Times New Roman" w:hAnsiTheme="majorHAnsi" w:cstheme="majorHAnsi"/>
        </w:rPr>
        <w:t xml:space="preserve">breadth index approaches 1, 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r w:rsidR="0099534C">
        <w:rPr>
          <w:rFonts w:asciiTheme="majorHAnsi" w:eastAsia="Times New Roman" w:hAnsiTheme="majorHAnsi" w:cstheme="majorHAnsi"/>
        </w:rPr>
        <w:t>5</w:t>
      </w:r>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del w:id="19" w:author="Diaz,Renata M" w:date="2021-01-15T12:06:00Z">
        <w:r w:rsidR="006C3C33" w:rsidDel="00BF571D">
          <w:rPr>
            <w:rFonts w:asciiTheme="majorHAnsi" w:eastAsia="Times New Roman" w:hAnsiTheme="majorHAnsi" w:cstheme="majorHAnsi"/>
          </w:rPr>
          <w:delText>This may explain wh</w:delText>
        </w:r>
      </w:del>
      <w:del w:id="20" w:author="Diaz,Renata M" w:date="2021-01-15T12:05:00Z">
        <w:r w:rsidR="006C3C33" w:rsidDel="00304BF5">
          <w:rPr>
            <w:rFonts w:asciiTheme="majorHAnsi" w:eastAsia="Times New Roman" w:hAnsiTheme="majorHAnsi" w:cstheme="majorHAnsi"/>
          </w:rPr>
          <w:delText>q</w:delText>
        </w:r>
      </w:del>
      <w:del w:id="21" w:author="Diaz,Renata M" w:date="2021-01-15T12:06:00Z">
        <w:r w:rsidR="006C3C33" w:rsidDel="00BF571D">
          <w:rPr>
            <w:rFonts w:asciiTheme="majorHAnsi" w:eastAsia="Times New Roman" w:hAnsiTheme="majorHAnsi" w:cstheme="majorHAnsi"/>
          </w:rPr>
          <w:delText>y per</w:delText>
        </w:r>
      </w:del>
      <w:del w:id="22" w:author="Diaz,Renata M" w:date="2021-01-15T12:05:00Z">
        <w:r w:rsidR="006C3C33" w:rsidDel="00304BF5">
          <w:rPr>
            <w:rFonts w:asciiTheme="majorHAnsi" w:eastAsia="Times New Roman" w:hAnsiTheme="majorHAnsi" w:cstheme="majorHAnsi"/>
          </w:rPr>
          <w:delText>f</w:delText>
        </w:r>
      </w:del>
      <w:del w:id="23" w:author="Diaz,Renata M" w:date="2021-01-15T12:06:00Z">
        <w:r w:rsidR="006C3C33" w:rsidDel="00BF571D">
          <w:rPr>
            <w:rFonts w:asciiTheme="majorHAnsi" w:eastAsia="Times New Roman" w:hAnsiTheme="majorHAnsi" w:cstheme="majorHAnsi"/>
          </w:rPr>
          <w:delText>entile ranks for the FIA database are the most uniform – this dataset</w:delText>
        </w:r>
      </w:del>
      <w:ins w:id="24" w:author="Diaz,Renata M" w:date="2021-01-15T12:06:00Z">
        <w:r w:rsidR="00BF571D">
          <w:rPr>
            <w:rFonts w:asciiTheme="majorHAnsi" w:eastAsia="Times New Roman" w:hAnsiTheme="majorHAnsi" w:cstheme="majorHAnsi"/>
          </w:rPr>
          <w:t xml:space="preserve">In particular, the FIA dataset </w:t>
        </w:r>
      </w:ins>
      <w:del w:id="25" w:author="Diaz,Renata M" w:date="2021-01-15T12:06:00Z">
        <w:r w:rsidR="006C3C33" w:rsidDel="00BF571D">
          <w:rPr>
            <w:rFonts w:asciiTheme="majorHAnsi" w:eastAsia="Times New Roman" w:hAnsiTheme="majorHAnsi" w:cstheme="majorHAnsi"/>
          </w:rPr>
          <w:delText xml:space="preserve"> </w:delText>
        </w:r>
      </w:del>
      <w:r w:rsidR="006C3C33">
        <w:rPr>
          <w:rFonts w:asciiTheme="majorHAnsi" w:eastAsia="Times New Roman" w:hAnsiTheme="majorHAnsi" w:cstheme="majorHAnsi"/>
        </w:rPr>
        <w:t xml:space="preserve">is dominated </w:t>
      </w:r>
      <w:r w:rsidR="006F1C6E" w:rsidRPr="002E2A57">
        <w:rPr>
          <w:rFonts w:asciiTheme="majorHAnsi" w:eastAsia="Times New Roman" w:hAnsiTheme="majorHAnsi" w:cstheme="majorHAnsi"/>
        </w:rPr>
        <w:t xml:space="preserve">by </w:t>
      </w:r>
      <w:ins w:id="26" w:author="Diaz,Renata M" w:date="2021-01-15T12:06:00Z">
        <w:r w:rsidR="002A125A">
          <w:rPr>
            <w:rFonts w:asciiTheme="majorHAnsi" w:eastAsia="Times New Roman" w:hAnsiTheme="majorHAnsi" w:cstheme="majorHAnsi"/>
          </w:rPr>
          <w:t xml:space="preserve">small </w:t>
        </w:r>
      </w:ins>
      <w:r w:rsidR="006F1C6E" w:rsidRPr="002E2A57">
        <w:rPr>
          <w:rFonts w:asciiTheme="majorHAnsi" w:eastAsia="Times New Roman" w:hAnsiTheme="majorHAnsi" w:cstheme="majorHAnsi"/>
        </w:rPr>
        <w:t xml:space="preserve">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w:t>
      </w:r>
      <w:r w:rsidR="009550A4">
        <w:rPr>
          <w:rFonts w:asciiTheme="majorHAnsi" w:eastAsia="Times New Roman" w:hAnsiTheme="majorHAnsi" w:cstheme="majorHAnsi"/>
        </w:rPr>
        <w:t>SAD derived from the feasible set</w:t>
      </w:r>
      <w:r w:rsidR="0002208D" w:rsidRPr="002E2A57">
        <w:rPr>
          <w:rFonts w:asciiTheme="majorHAnsi" w:eastAsia="Times New Roman" w:hAnsiTheme="majorHAnsi" w:cstheme="majorHAnsi"/>
        </w:rPr>
        <w:t xml:space="preserve">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17E1EE64"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9D4222" w:rsidRPr="002E2A57">
        <w:rPr>
          <w:rFonts w:asciiTheme="majorHAnsi" w:eastAsia="Times New Roman" w:hAnsiTheme="majorHAnsi" w:cstheme="majorHAnsi"/>
        </w:rPr>
        <w:t xml:space="preserve">are more skewed and less even </w:t>
      </w:r>
      <w:r w:rsidR="0036239E">
        <w:rPr>
          <w:rFonts w:asciiTheme="majorHAnsi" w:eastAsia="Times New Roman" w:hAnsiTheme="majorHAnsi" w:cstheme="majorHAnsi"/>
        </w:rPr>
        <w:t>than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del w:id="27" w:author="Diaz,Renata M" w:date="2021-01-15T12:06:00Z">
        <w:r w:rsidR="00062AE0" w:rsidDel="000C4C33">
          <w:rPr>
            <w:rFonts w:asciiTheme="majorHAnsi" w:eastAsia="Times New Roman" w:hAnsiTheme="majorHAnsi" w:cstheme="majorHAnsi"/>
          </w:rPr>
          <w:delText>are signals</w:delText>
        </w:r>
      </w:del>
      <w:ins w:id="28" w:author="Diaz,Renata M" w:date="2021-01-15T12:06:00Z">
        <w:r w:rsidR="000C4C33">
          <w:rPr>
            <w:rFonts w:asciiTheme="majorHAnsi" w:eastAsia="Times New Roman" w:hAnsiTheme="majorHAnsi" w:cstheme="majorHAnsi"/>
          </w:rPr>
          <w:t>may signal</w:t>
        </w:r>
      </w:ins>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ins w:id="29" w:author="Diaz,Renata M" w:date="2021-01-15T12:07:00Z">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 xml:space="preserve">cause abundance distributions to be more uneven – rather than those that </w:t>
      </w:r>
      <w:r w:rsidR="0021473B">
        <w:rPr>
          <w:rFonts w:asciiTheme="majorHAnsi" w:eastAsia="Times New Roman" w:hAnsiTheme="majorHAnsi" w:cstheme="majorHAnsi"/>
        </w:rPr>
        <w:t>produce more even abundances</w:t>
      </w:r>
      <w:r w:rsidR="00B17856" w:rsidRPr="002E2A57">
        <w:rPr>
          <w:rFonts w:asciiTheme="majorHAnsi" w:eastAsia="Times New Roman" w:hAnsiTheme="majorHAnsi" w:cstheme="majorHAnsi"/>
        </w:rPr>
        <w:t xml:space="preserve"> across species.</w:t>
      </w:r>
      <w:r w:rsidR="00321F4E">
        <w:rPr>
          <w:rFonts w:asciiTheme="majorHAnsi" w:eastAsia="Times New Roman" w:hAnsiTheme="majorHAnsi" w:cstheme="majorHAnsi"/>
        </w:rPr>
        <w:t xml:space="preserve"> Ecological processes may lengthen the rare tail of the SAD, for example by promoting the persistence of rare species at very low abundances (e.g. 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w:t>
      </w:r>
      <w:r w:rsidR="00404051" w:rsidRPr="002E2A57">
        <w:rPr>
          <w:rFonts w:asciiTheme="majorHAnsi" w:eastAsia="Times New Roman" w:hAnsiTheme="majorHAnsi" w:cstheme="majorHAnsi"/>
        </w:rPr>
        <w:lastRenderedPageBreak/>
        <w:t xml:space="preserve">deviated statistically </w:t>
      </w:r>
      <w:r w:rsidR="008014DB">
        <w:rPr>
          <w:rFonts w:asciiTheme="majorHAnsi" w:eastAsia="Times New Roman" w:hAnsiTheme="majorHAnsi" w:cstheme="majorHAnsi"/>
        </w:rPr>
        <w:t xml:space="preserve">from </w:t>
      </w:r>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84626F">
        <w:rPr>
          <w:rFonts w:asciiTheme="majorHAnsi" w:eastAsia="Times New Roman" w:hAnsiTheme="majorHAnsi" w:cstheme="majorHAnsi"/>
        </w:rPr>
        <w:t>multiple</w:t>
      </w:r>
      <w:r w:rsidR="0084626F"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 xml:space="preserve">(e.g.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w:t>
      </w:r>
      <w:del w:id="30" w:author="Diaz,Renata M" w:date="2021-01-15T12:07:00Z">
        <w:r w:rsidR="005D235C" w:rsidRPr="002E2A57" w:rsidDel="000A238D">
          <w:rPr>
            <w:rFonts w:asciiTheme="majorHAnsi" w:eastAsia="Times New Roman" w:hAnsiTheme="majorHAnsi" w:cstheme="majorHAnsi"/>
          </w:rPr>
          <w:delText xml:space="preserve">expectations </w:delText>
        </w:r>
      </w:del>
      <w:ins w:id="31" w:author="Diaz,Renata M" w:date="2021-01-15T12:07:00Z">
        <w:r w:rsidR="000A238D">
          <w:rPr>
            <w:rFonts w:asciiTheme="majorHAnsi" w:eastAsia="Times New Roman" w:hAnsiTheme="majorHAnsi" w:cstheme="majorHAnsi"/>
          </w:rPr>
          <w:t>statistical baselines</w:t>
        </w:r>
        <w:r w:rsidR="000A238D" w:rsidRPr="002E2A57">
          <w:rPr>
            <w:rFonts w:asciiTheme="majorHAnsi" w:eastAsia="Times New Roman" w:hAnsiTheme="majorHAnsi" w:cstheme="majorHAnsi"/>
          </w:rPr>
          <w:t xml:space="preserve"> </w:t>
        </w:r>
      </w:ins>
      <w:r w:rsidR="00EA1C70" w:rsidRPr="002E2A57">
        <w:rPr>
          <w:rFonts w:asciiTheme="majorHAnsi" w:eastAsia="Times New Roman" w:hAnsiTheme="majorHAnsi" w:cstheme="majorHAnsi"/>
        </w:rPr>
        <w:t>may be much more fruitful than focusing only on the general form of the SAD</w:t>
      </w:r>
      <w:r w:rsidR="007E1749">
        <w:rPr>
          <w:rFonts w:asciiTheme="majorHAnsi" w:eastAsia="Times New Roman" w:hAnsiTheme="majorHAnsi" w:cstheme="majorHAnsi"/>
        </w:rPr>
        <w:t xml:space="preserve"> that emerges from</w:t>
      </w:r>
      <w:r w:rsidR="00EA1C70" w:rsidRPr="002E2A57">
        <w:rPr>
          <w:rFonts w:asciiTheme="majorHAnsi" w:eastAsia="Times New Roman" w:hAnsiTheme="majorHAnsi" w:cstheme="majorHAnsi"/>
        </w:rPr>
        <w:t xml:space="preserve">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0024C278"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del w:id="32" w:author="Diaz,Renata M" w:date="2021-01-15T12:07:00Z">
        <w:r w:rsidR="00A55464" w:rsidDel="00FF4772">
          <w:rPr>
            <w:rFonts w:asciiTheme="majorHAnsi" w:eastAsia="Times New Roman" w:hAnsiTheme="majorHAnsi" w:cstheme="majorHAnsi"/>
          </w:rPr>
          <w:delText>issues</w:delText>
        </w:r>
        <w:r w:rsidR="00F66E10" w:rsidRPr="002E2A57" w:rsidDel="00FF4772">
          <w:rPr>
            <w:rFonts w:asciiTheme="majorHAnsi" w:eastAsia="Times New Roman" w:hAnsiTheme="majorHAnsi" w:cstheme="majorHAnsi"/>
          </w:rPr>
          <w:delText xml:space="preserve"> </w:delText>
        </w:r>
      </w:del>
      <w:ins w:id="33" w:author="Diaz,Renata M" w:date="2021-01-15T12:07:00Z">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ins>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592C9F">
        <w:rPr>
          <w:rFonts w:asciiTheme="majorHAnsi" w:eastAsia="Times New Roman" w:hAnsiTheme="majorHAnsi" w:cstheme="majorHAnsi"/>
        </w:rPr>
        <w:t>; w</w:t>
      </w:r>
      <w:r w:rsidR="007A3132">
        <w:rPr>
          <w:rFonts w:asciiTheme="majorHAnsi" w:eastAsia="Times New Roman" w:hAnsiTheme="majorHAnsi" w:cstheme="majorHAnsi"/>
        </w:rPr>
        <w:t xml:space="preserve">hen there are relatively few possible SADs, the distributions of evenness and skewness values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w:t>
      </w:r>
      <w:r w:rsidR="00EC498A">
        <w:rPr>
          <w:rFonts w:asciiTheme="majorHAnsi" w:eastAsia="Times New Roman" w:hAnsiTheme="majorHAnsi" w:cstheme="majorHAnsi"/>
        </w:rPr>
        <w:t>weaker</w:t>
      </w:r>
      <w:r w:rsidR="007A3132">
        <w:rPr>
          <w:rFonts w:asciiTheme="majorHAnsi" w:eastAsia="Times New Roman" w:hAnsiTheme="majorHAnsi" w:cstheme="majorHAnsi"/>
        </w:rPr>
        <w:t xml:space="preserve"> statistical distinction between “common” and “extreme” shapes for the SAD</w:t>
      </w:r>
      <w:ins w:id="34" w:author="Diaz,Renata M" w:date="2021-01-15T12:08:00Z">
        <w:r w:rsidR="002E7372">
          <w:rPr>
            <w:rFonts w:asciiTheme="majorHAnsi" w:eastAsia="Times New Roman" w:hAnsiTheme="majorHAnsi" w:cstheme="majorHAnsi"/>
          </w:rPr>
          <w:t xml:space="preserve"> (Figure 1)</w:t>
        </w:r>
      </w:ins>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 xml:space="preserve">In fact, across the </w:t>
      </w:r>
      <w:r w:rsidR="000E2FAB">
        <w:rPr>
          <w:rFonts w:asciiTheme="majorHAnsi" w:eastAsia="Times New Roman" w:hAnsiTheme="majorHAnsi" w:cstheme="majorHAnsi"/>
        </w:rPr>
        <w:t>range of community sizes present in our datasets</w:t>
      </w:r>
      <w:r w:rsidR="0093291E">
        <w:rPr>
          <w:rFonts w:asciiTheme="majorHAnsi" w:eastAsia="Times New Roman" w:hAnsiTheme="majorHAnsi" w:cstheme="majorHAnsi"/>
        </w:rPr>
        <w:t>,</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r w:rsidR="00147BFF">
        <w:rPr>
          <w:rFonts w:asciiTheme="majorHAnsi" w:eastAsia="Times New Roman" w:hAnsiTheme="majorHAnsi" w:cstheme="majorHAnsi"/>
        </w:rPr>
        <w:t>5</w:t>
      </w:r>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0B6C6054"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4E7643">
        <w:rPr>
          <w:rFonts w:asciiTheme="majorHAnsi" w:eastAsia="Times New Roman" w:hAnsiTheme="majorHAnsi" w:cstheme="majorHAnsi"/>
          <w:i/>
          <w:iCs/>
          <w:rPrChange w:id="35" w:author="Diaz,Renata M" w:date="2021-01-15T12:09:00Z">
            <w:rPr>
              <w:rFonts w:asciiTheme="majorHAnsi" w:eastAsia="Times New Roman" w:hAnsiTheme="majorHAnsi" w:cstheme="majorHAnsi"/>
            </w:rPr>
          </w:rPrChange>
        </w:rPr>
        <w:t xml:space="preserve">S </w:t>
      </w:r>
      <w:r w:rsidR="00B01BDC" w:rsidRPr="002E2A57">
        <w:rPr>
          <w:rFonts w:asciiTheme="majorHAnsi" w:eastAsia="Times New Roman" w:hAnsiTheme="majorHAnsi" w:cstheme="majorHAnsi"/>
        </w:rPr>
        <w:t xml:space="preserve">and </w:t>
      </w:r>
      <w:r w:rsidR="00B01BDC" w:rsidRPr="004E7643">
        <w:rPr>
          <w:rFonts w:asciiTheme="majorHAnsi" w:eastAsia="Times New Roman" w:hAnsiTheme="majorHAnsi" w:cstheme="majorHAnsi"/>
          <w:i/>
          <w:iCs/>
          <w:rPrChange w:id="36" w:author="Diaz,Renata M" w:date="2021-01-15T12:09:00Z">
            <w:rPr>
              <w:rFonts w:asciiTheme="majorHAnsi" w:eastAsia="Times New Roman" w:hAnsiTheme="majorHAnsi" w:cstheme="majorHAnsi"/>
            </w:rPr>
          </w:rPrChange>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ins w:id="37" w:author="Diaz,Renata M" w:date="2021-01-15T12:09:00Z">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ins>
      <w:del w:id="38" w:author="Diaz,Renata M" w:date="2021-01-15T12:09:00Z">
        <w:r w:rsidR="00BC3982" w:rsidRPr="002E2A57" w:rsidDel="008C471B">
          <w:rPr>
            <w:rFonts w:asciiTheme="majorHAnsi" w:eastAsia="Times New Roman" w:hAnsiTheme="majorHAnsi" w:cstheme="majorHAnsi"/>
          </w:rPr>
          <w:delText>in the</w:delText>
        </w:r>
        <w:r w:rsidR="00B01BDC" w:rsidRPr="002E2A57" w:rsidDel="008C471B">
          <w:rPr>
            <w:rFonts w:asciiTheme="majorHAnsi" w:eastAsia="Times New Roman" w:hAnsiTheme="majorHAnsi" w:cstheme="majorHAnsi"/>
          </w:rPr>
          <w:delText xml:space="preserve"> </w:delText>
        </w:r>
      </w:del>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r w:rsidR="004B303A">
        <w:rPr>
          <w:rFonts w:asciiTheme="majorHAnsi" w:hAnsiTheme="majorHAnsi" w:cstheme="majorHAnsi"/>
          <w:iCs/>
        </w:rPr>
        <w:t xml:space="preserve">=  0.07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 xml:space="preserve">371 communities </w:t>
      </w:r>
      <w:r w:rsidR="00A261B1">
        <w:rPr>
          <w:rFonts w:asciiTheme="majorHAnsi" w:eastAsia="Times New Roman" w:hAnsiTheme="majorHAnsi" w:cstheme="majorHAnsi"/>
        </w:rPr>
        <w:lastRenderedPageBreak/>
        <w:t>constitutes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62A8BF10"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7111E0F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r w:rsidR="001178C2">
        <w:rPr>
          <w:rFonts w:asciiTheme="majorHAnsi" w:eastAsia="Times New Roman" w:hAnsiTheme="majorHAnsi" w:cstheme="majorHAnsi"/>
        </w:rPr>
        <w:t xml:space="preserve">. </w:t>
      </w:r>
      <w:r w:rsidR="009272FF">
        <w:rPr>
          <w:rFonts w:asciiTheme="majorHAnsi" w:eastAsia="Times New Roman" w:hAnsiTheme="majorHAnsi" w:cstheme="majorHAnsi"/>
        </w:rPr>
        <w:t>O</w:t>
      </w:r>
      <w:r w:rsidR="00674AAE">
        <w:rPr>
          <w:rFonts w:asciiTheme="majorHAnsi" w:eastAsia="Times New Roman" w:hAnsiTheme="majorHAnsi" w:cstheme="majorHAnsi"/>
        </w:rPr>
        <w:t xml:space="preserve">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Favretti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2689373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w:t>
      </w:r>
      <w:del w:id="39" w:author="Diaz,Renata M" w:date="2021-01-15T12:10:00Z">
        <w:r w:rsidRPr="002E2A57" w:rsidDel="00B87B3E">
          <w:rPr>
            <w:rFonts w:asciiTheme="majorHAnsi" w:eastAsia="Times New Roman" w:hAnsiTheme="majorHAnsi" w:cstheme="majorHAnsi"/>
          </w:rPr>
          <w:delText xml:space="preserve">both </w:delText>
        </w:r>
      </w:del>
      <w:r w:rsidRPr="002E2A57">
        <w:rPr>
          <w:rFonts w:asciiTheme="majorHAnsi" w:eastAsia="Times New Roman" w:hAnsiTheme="majorHAnsi" w:cstheme="majorHAnsi"/>
        </w:rPr>
        <w:t xml:space="preserve">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66F60B14"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 P. 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E020A57" w14:textId="5CEF88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706B49B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ins w:id="40" w:author="Diaz,Renata M" w:date="2021-01-15T12:40:00Z">
        <w:r w:rsidR="009618E5">
          <w:rPr>
            <w:rFonts w:asciiTheme="majorHAnsi" w:hAnsiTheme="majorHAnsi" w:cstheme="majorHAnsi"/>
          </w:rPr>
          <w:t>left</w:t>
        </w:r>
      </w:ins>
      <w:del w:id="41" w:author="Diaz,Renata M" w:date="2021-01-15T12:40:00Z">
        <w:r w:rsidDel="009618E5">
          <w:rPr>
            <w:rFonts w:asciiTheme="majorHAnsi" w:hAnsiTheme="majorHAnsi" w:cstheme="majorHAnsi"/>
          </w:rPr>
          <w:delText>top</w:delText>
        </w:r>
      </w:del>
      <w:r>
        <w:rPr>
          <w:rFonts w:asciiTheme="majorHAnsi" w:hAnsiTheme="majorHAnsi" w:cstheme="majorHAnsi"/>
        </w:rPr>
        <w:t>) or uneven (</w:t>
      </w:r>
      <w:del w:id="42" w:author="Diaz,Renata M" w:date="2021-01-15T12:40:00Z">
        <w:r w:rsidDel="009618E5">
          <w:rPr>
            <w:rFonts w:asciiTheme="majorHAnsi" w:hAnsiTheme="majorHAnsi" w:cstheme="majorHAnsi"/>
          </w:rPr>
          <w:delText>bottom</w:delText>
        </w:r>
      </w:del>
      <w:ins w:id="43" w:author="Diaz,Renata M" w:date="2021-01-15T12:40:00Z">
        <w:r w:rsidR="009618E5">
          <w:rPr>
            <w:rFonts w:asciiTheme="majorHAnsi" w:hAnsiTheme="majorHAnsi" w:cstheme="majorHAnsi"/>
          </w:rPr>
          <w:t>right</w:t>
        </w:r>
      </w:ins>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del w:id="44" w:author="Diaz,Renata M" w:date="2021-01-15T12:40:00Z">
        <w:r w:rsidDel="00D36838">
          <w:rPr>
            <w:rFonts w:asciiTheme="majorHAnsi" w:hAnsiTheme="majorHAnsi" w:cstheme="majorHAnsi"/>
          </w:rPr>
          <w:delText xml:space="preserve">(panels above) </w:delText>
        </w:r>
      </w:del>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020DA6C8"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del w:id="45" w:author="Diaz,Renata M" w:date="2021-01-15T12:40:00Z">
        <w:r w:rsidDel="00423861">
          <w:rPr>
            <w:rFonts w:asciiTheme="majorHAnsi" w:hAnsiTheme="majorHAnsi" w:cstheme="majorHAnsi"/>
          </w:rPr>
          <w:delText>top</w:delText>
        </w:r>
      </w:del>
      <w:ins w:id="46" w:author="Diaz,Renata M" w:date="2021-01-15T12:40:00Z">
        <w:r w:rsidR="00423861">
          <w:rPr>
            <w:rFonts w:asciiTheme="majorHAnsi" w:hAnsiTheme="majorHAnsi" w:cstheme="majorHAnsi"/>
          </w:rPr>
          <w:t>left</w:t>
        </w:r>
      </w:ins>
      <w:r>
        <w:rPr>
          <w:rFonts w:asciiTheme="majorHAnsi" w:hAnsiTheme="majorHAnsi" w:cstheme="majorHAnsi"/>
        </w:rPr>
        <w:t>) and evenness (</w:t>
      </w:r>
      <w:del w:id="47" w:author="Diaz,Renata M" w:date="2021-01-15T12:40:00Z">
        <w:r w:rsidDel="00423861">
          <w:rPr>
            <w:rFonts w:asciiTheme="majorHAnsi" w:hAnsiTheme="majorHAnsi" w:cstheme="majorHAnsi"/>
          </w:rPr>
          <w:delText>bottom</w:delText>
        </w:r>
      </w:del>
      <w:ins w:id="48" w:author="Diaz,Renata M" w:date="2021-01-15T12:40:00Z">
        <w:r w:rsidR="00423861">
          <w:rPr>
            <w:rFonts w:asciiTheme="majorHAnsi" w:hAnsiTheme="majorHAnsi" w:cstheme="majorHAnsi"/>
          </w:rPr>
          <w:t>right</w:t>
        </w:r>
      </w:ins>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poorly-defined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ins w:id="49" w:author="Diaz,Renata M" w:date="2021-01-15T12:41:00Z">
        <w:r w:rsidR="00711A1B">
          <w:rPr>
            <w:rFonts w:asciiTheme="majorHAnsi" w:hAnsiTheme="majorHAnsi" w:cstheme="majorHAnsi"/>
          </w:rPr>
          <w:t>right</w:t>
        </w:r>
        <w:r w:rsidR="00711A1B">
          <w:rPr>
            <w:rFonts w:asciiTheme="majorHAnsi" w:hAnsiTheme="majorHAnsi" w:cstheme="majorHAnsi"/>
          </w:rPr>
          <w:t xml:space="preserve"> </w:t>
        </w:r>
      </w:ins>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2D6EA9">
        <w:rPr>
          <w:rFonts w:asciiTheme="majorHAnsi" w:hAnsiTheme="majorHAnsi" w:cstheme="majorHAnsi"/>
          <w:iCs/>
        </w:rPr>
        <w:t xml:space="preserve">0.07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65686E7" w14:textId="77777777" w:rsidR="00EC751C" w:rsidRDefault="00EC751C">
      <w:pPr>
        <w:rPr>
          <w:rFonts w:cstheme="majorHAnsi"/>
        </w:rPr>
      </w:pPr>
      <w:bookmarkStart w:id="50" w:name="_Figure_1:_Communities"/>
      <w:bookmarkStart w:id="51" w:name="_Figure_1:_S0,"/>
      <w:bookmarkStart w:id="52" w:name="_Figure_0:_Distribution"/>
      <w:bookmarkStart w:id="53" w:name="_Figure_1.5:_Datasets"/>
      <w:bookmarkStart w:id="54" w:name="_Figure_1.75:_Nparts"/>
      <w:bookmarkStart w:id="55" w:name="_Figure_1:_Number"/>
      <w:bookmarkStart w:id="56" w:name="_Figure_1.875:_Nparts"/>
      <w:bookmarkStart w:id="57" w:name="_Figure_2:_Self-similarity"/>
      <w:bookmarkStart w:id="58" w:name="_Figure_2:_Narrowness"/>
      <w:bookmarkStart w:id="59" w:name="_Figure_3:_Self-similarity"/>
      <w:bookmarkStart w:id="60" w:name="_Figure_3:_Skewness"/>
      <w:bookmarkStart w:id="61" w:name="_Figure_3.5_Self"/>
      <w:bookmarkStart w:id="62" w:name="_Figure_4:_Overall"/>
      <w:bookmarkStart w:id="63" w:name="_Figure_4:_Simpson"/>
      <w:bookmarkStart w:id="64" w:name="_Figure_6:_Skewness"/>
      <w:bookmarkStart w:id="65" w:name="_Figure_7:_Skewness"/>
      <w:bookmarkStart w:id="66" w:name="_Figure_8:_Simpson"/>
      <w:bookmarkStart w:id="67" w:name="_Figure_9:_Simpson"/>
      <w:bookmarkStart w:id="68" w:name="_Figure_10:_Skewness"/>
      <w:bookmarkStart w:id="69" w:name="_Figure_11:_Simpson"/>
      <w:bookmarkStart w:id="70" w:name="_Figure_12:_Simpson"/>
      <w:bookmarkStart w:id="71" w:name="_Figure_13:_Skewness"/>
      <w:bookmarkStart w:id="72" w:name="_Figure_14:_Skewness"/>
      <w:bookmarkStart w:id="73" w:name="_Figure_15:_Rarefied"/>
      <w:bookmarkStart w:id="74" w:name="_Figure_16:_Rarefied"/>
      <w:bookmarkStart w:id="75" w:name="_Table_1:_Proportion"/>
      <w:bookmarkStart w:id="76" w:name="_Table_2:_Proportion"/>
      <w:bookmarkStart w:id="77" w:name="_Figure_2:_95%"/>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rFonts w:cstheme="majorHAnsi"/>
        </w:rPr>
        <w:br w:type="page"/>
      </w:r>
    </w:p>
    <w:p w14:paraId="234793A3" w14:textId="1AF22CD5" w:rsidR="005A1B6E" w:rsidRDefault="005A1B6E" w:rsidP="00E43750">
      <w:pPr>
        <w:rPr>
          <w:rFonts w:asciiTheme="majorHAnsi" w:hAnsiTheme="majorHAnsi" w:cstheme="majorHAnsi"/>
          <w:b/>
          <w:bCs/>
        </w:rPr>
      </w:pPr>
      <w:bookmarkStart w:id="78" w:name="_Figure_3:_Skewness_1"/>
      <w:bookmarkStart w:id="79" w:name="_Figure_3:_Overall"/>
      <w:bookmarkStart w:id="80" w:name="_Figure_4:_Evenness"/>
      <w:bookmarkStart w:id="81" w:name="_Figure_5:_95%"/>
      <w:bookmarkStart w:id="82" w:name="_Figure_7:_Distribution"/>
      <w:bookmarkStart w:id="83" w:name="_Figure_8:_Direct"/>
      <w:bookmarkEnd w:id="78"/>
      <w:bookmarkEnd w:id="79"/>
      <w:bookmarkEnd w:id="80"/>
      <w:bookmarkEnd w:id="81"/>
      <w:bookmarkEnd w:id="82"/>
      <w:bookmarkEnd w:id="83"/>
      <w:r>
        <w:rPr>
          <w:rFonts w:asciiTheme="majorHAnsi" w:hAnsiTheme="majorHAnsi" w:cstheme="majorHAnsi"/>
          <w:b/>
          <w:bCs/>
        </w:rPr>
        <w:lastRenderedPageBreak/>
        <w:t>References</w:t>
      </w:r>
    </w:p>
    <w:p w14:paraId="1B474566" w14:textId="687B5617" w:rsidR="001E4A8D" w:rsidRPr="008A3808" w:rsidRDefault="001E4A8D" w:rsidP="00892727">
      <w:pPr>
        <w:spacing w:line="480" w:lineRule="auto"/>
        <w:ind w:left="540" w:hanging="540"/>
        <w:rPr>
          <w:rFonts w:asciiTheme="majorHAnsi" w:hAnsiTheme="majorHAnsi" w:cstheme="majorHAnsi"/>
          <w:rPrChange w:id="84" w:author="Diaz,Renata M" w:date="2021-01-15T12:53:00Z">
            <w:rPr/>
          </w:rPrChange>
        </w:rPr>
      </w:pPr>
      <w:r w:rsidRPr="008A3808">
        <w:rPr>
          <w:rFonts w:asciiTheme="majorHAnsi" w:hAnsiTheme="majorHAnsi" w:cstheme="majorHAnsi"/>
          <w:rPrChange w:id="85" w:author="Diaz,Renata M" w:date="2021-01-15T12:53:00Z">
            <w:rPr/>
          </w:rPrChange>
        </w:rPr>
        <w:t>Baldridge, E. (2015).</w:t>
      </w:r>
      <w:r w:rsidR="00525285" w:rsidRPr="008A3808">
        <w:rPr>
          <w:rFonts w:asciiTheme="majorHAnsi" w:hAnsiTheme="majorHAnsi" w:cstheme="majorHAnsi"/>
          <w:rPrChange w:id="86" w:author="Diaz,Renata M" w:date="2021-01-15T12:53:00Z">
            <w:rPr/>
          </w:rPrChange>
        </w:rPr>
        <w:t xml:space="preserve"> Miscellaneous Abundance Database. </w:t>
      </w:r>
      <w:r w:rsidR="003C4E60" w:rsidRPr="008A3808">
        <w:rPr>
          <w:rFonts w:asciiTheme="majorHAnsi" w:hAnsiTheme="majorHAnsi" w:cstheme="majorHAnsi"/>
          <w:rPrChange w:id="87" w:author="Diaz,Renata M" w:date="2021-01-15T12:53:00Z">
            <w:rPr/>
          </w:rPrChange>
        </w:rPr>
        <w:t>f</w:t>
      </w:r>
      <w:r w:rsidR="00525285" w:rsidRPr="008A3808">
        <w:rPr>
          <w:rFonts w:asciiTheme="majorHAnsi" w:hAnsiTheme="majorHAnsi" w:cstheme="majorHAnsi"/>
          <w:rPrChange w:id="88" w:author="Diaz,Renata M" w:date="2021-01-15T12:53:00Z">
            <w:rPr/>
          </w:rPrChange>
        </w:rPr>
        <w:t>igshare. Available at:</w:t>
      </w:r>
      <w:r w:rsidR="00AA781C" w:rsidRPr="008A3808">
        <w:rPr>
          <w:rFonts w:asciiTheme="majorHAnsi" w:hAnsiTheme="majorHAnsi" w:cstheme="majorHAnsi"/>
          <w:rPrChange w:id="89" w:author="Diaz,Renata M" w:date="2021-01-15T12:53:00Z">
            <w:rPr/>
          </w:rPrChange>
        </w:rPr>
        <w:t xml:space="preserve"> </w:t>
      </w:r>
      <w:r w:rsidR="00A36A2B" w:rsidRPr="008A3808">
        <w:rPr>
          <w:rFonts w:asciiTheme="majorHAnsi" w:hAnsiTheme="majorHAnsi" w:cstheme="majorHAnsi"/>
          <w:rPrChange w:id="90" w:author="Diaz,Renata M" w:date="2021-01-15T12:53:00Z">
            <w:rPr/>
          </w:rPrChange>
        </w:rPr>
        <w:fldChar w:fldCharType="begin"/>
      </w:r>
      <w:r w:rsidR="00A36A2B" w:rsidRPr="008A3808">
        <w:rPr>
          <w:rFonts w:asciiTheme="majorHAnsi" w:hAnsiTheme="majorHAnsi" w:cstheme="majorHAnsi"/>
          <w:rPrChange w:id="91" w:author="Diaz,Renata M" w:date="2021-01-15T12:53:00Z">
            <w:rPr/>
          </w:rPrChange>
        </w:rPr>
        <w:instrText xml:space="preserve"> HYPERLINK "https://doi.org/10.6084/m9.figshare.95843.v4" </w:instrText>
      </w:r>
      <w:r w:rsidR="00A36A2B" w:rsidRPr="008A3808">
        <w:rPr>
          <w:rFonts w:asciiTheme="majorHAnsi" w:hAnsiTheme="majorHAnsi" w:cstheme="majorHAnsi"/>
          <w:rPrChange w:id="92" w:author="Diaz,Renata M" w:date="2021-01-15T12:53:00Z">
            <w:rPr/>
          </w:rPrChange>
        </w:rPr>
        <w:fldChar w:fldCharType="separate"/>
      </w:r>
      <w:r w:rsidRPr="008A3808">
        <w:rPr>
          <w:rStyle w:val="Hyperlink"/>
          <w:rFonts w:asciiTheme="majorHAnsi" w:hAnsiTheme="majorHAnsi" w:cstheme="majorHAnsi"/>
          <w:rPrChange w:id="93" w:author="Diaz,Renata M" w:date="2021-01-15T12:53:00Z">
            <w:rPr>
              <w:rStyle w:val="Hyperlink"/>
            </w:rPr>
          </w:rPrChange>
        </w:rPr>
        <w:t>https://doi.org/10.6084/m9.figshare.95843.v4</w:t>
      </w:r>
      <w:r w:rsidR="00A36A2B" w:rsidRPr="008A3808">
        <w:rPr>
          <w:rStyle w:val="Hyperlink"/>
          <w:rFonts w:asciiTheme="majorHAnsi" w:hAnsiTheme="majorHAnsi" w:cstheme="majorHAnsi"/>
          <w:rPrChange w:id="94" w:author="Diaz,Renata M" w:date="2021-01-15T12:53:00Z">
            <w:rPr>
              <w:rStyle w:val="Hyperlink"/>
            </w:rPr>
          </w:rPrChange>
        </w:rPr>
        <w:fldChar w:fldCharType="end"/>
      </w:r>
    </w:p>
    <w:p w14:paraId="50FA4FD4" w14:textId="7C4EBEE9" w:rsidR="0089180E" w:rsidRDefault="0089180E">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r w:rsidRPr="006361DB">
        <w:rPr>
          <w:rFonts w:asciiTheme="majorHAnsi" w:eastAsia="Times New Roman" w:hAnsiTheme="majorHAnsi" w:cstheme="majorHAnsi"/>
          <w:i/>
          <w:iCs/>
        </w:rPr>
        <w:t>PeerJ</w:t>
      </w:r>
      <w:r w:rsidRPr="006361DB">
        <w:rPr>
          <w:rFonts w:asciiTheme="majorHAnsi" w:eastAsia="Times New Roman" w:hAnsiTheme="majorHAnsi" w:cstheme="majorHAnsi"/>
        </w:rPr>
        <w:t>, 4, e2823.</w:t>
      </w:r>
    </w:p>
    <w:p w14:paraId="73FEE814" w14:textId="3FD200D9" w:rsidR="00392706" w:rsidRPr="006361DB" w:rsidRDefault="00392706" w:rsidP="006361DB">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r w:rsidRPr="006361DB">
        <w:rPr>
          <w:rFonts w:asciiTheme="majorHAnsi" w:eastAsia="Times New Roman" w:hAnsiTheme="majorHAnsi" w:cstheme="majorHAnsi"/>
          <w:i/>
          <w:iCs/>
        </w:rPr>
        <w:t>An extensive comparison of species-abundance distribution models</w:t>
      </w:r>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2DD5626A"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6E2D53A6"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Favretti,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5BEEEAA9"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77AD29D6"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492AEBC8"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Zipf’s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0EA42702"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Haegeman, B. &amp; Loreau,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4A7938EA"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78943E6"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57FE8EB1"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Zillio, T., Conlisk,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BB508B8"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4B1C74AD"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1DB4F807"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Locey,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429BDC97" w14:textId="49D50CEB"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Benecha, H.K., </w:t>
      </w:r>
      <w:r w:rsidR="007873FC">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r w:rsidRPr="006361DB">
        <w:rPr>
          <w:rFonts w:asciiTheme="majorHAnsi" w:eastAsia="Times New Roman" w:hAnsiTheme="majorHAnsi" w:cstheme="majorHAnsi"/>
          <w:i/>
          <w:iCs/>
        </w:rPr>
        <w:t>Ecol Letters</w:t>
      </w:r>
      <w:r w:rsidRPr="006361DB">
        <w:rPr>
          <w:rFonts w:asciiTheme="majorHAnsi" w:eastAsia="Times New Roman" w:hAnsiTheme="majorHAnsi" w:cstheme="majorHAnsi"/>
        </w:rPr>
        <w:t>, 10, 995–1015.</w:t>
      </w:r>
    </w:p>
    <w:p w14:paraId="706A6199"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Dimitriadou, E., Hornik, K., Weingessel, A. &amp; Leisch, F. (2019). </w:t>
      </w:r>
      <w:r w:rsidRPr="006361DB">
        <w:rPr>
          <w:rFonts w:asciiTheme="majorHAnsi" w:eastAsia="Times New Roman" w:hAnsiTheme="majorHAnsi" w:cstheme="majorHAnsi"/>
          <w:i/>
          <w:iCs/>
        </w:rPr>
        <w:t>e1071: Misc Functions of the Department of Statistics, Probability Theory Group (Formerly: E1071), TU Wien</w:t>
      </w:r>
      <w:r w:rsidRPr="006361DB">
        <w:rPr>
          <w:rFonts w:asciiTheme="majorHAnsi" w:eastAsia="Times New Roman" w:hAnsiTheme="majorHAnsi" w:cstheme="majorHAnsi"/>
        </w:rPr>
        <w:t>.</w:t>
      </w:r>
    </w:p>
    <w:p w14:paraId="3C2F1521"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754A7837"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Pardieck, K.L. &amp; Ziolkowski,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4F2BF08"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2F9762DC"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Giffin,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5DB85A4D" w14:textId="183A1E28" w:rsidR="0089180E" w:rsidRDefault="0089180E">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046D27A6"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Woudenberg, S.W., Conkling, B.L., O’Connell, B.M., LaPoint, E.B., Turner, J.A. &amp; Waddell, K.L. (2010). The Forest Inventory and Analysis Database: Database description and users manual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6A96BF74"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O’Dwyer,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343BAF2A" w14:textId="379A462E"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Yenni,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57AEAB7D" w14:textId="77777777" w:rsidR="005A1B6E" w:rsidRPr="005A1B6E" w:rsidRDefault="005A1B6E" w:rsidP="006361DB">
      <w:pPr>
        <w:ind w:left="540" w:hanging="540"/>
        <w:rPr>
          <w:rFonts w:asciiTheme="majorHAnsi" w:hAnsiTheme="majorHAnsi" w:cstheme="majorHAnsi"/>
        </w:rPr>
      </w:pPr>
    </w:p>
    <w:sectPr w:rsidR="005A1B6E" w:rsidRPr="005A1B6E" w:rsidSect="00343F80">
      <w:headerReference w:type="default" r:id="rId14"/>
      <w:headerReference w:type="first" r:id="rId15"/>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A8533" w14:textId="77777777" w:rsidR="00A36A2B" w:rsidRDefault="00A36A2B" w:rsidP="0091663F">
      <w:pPr>
        <w:spacing w:after="0" w:line="240" w:lineRule="auto"/>
      </w:pPr>
      <w:r>
        <w:separator/>
      </w:r>
    </w:p>
  </w:endnote>
  <w:endnote w:type="continuationSeparator" w:id="0">
    <w:p w14:paraId="529C5F29" w14:textId="77777777" w:rsidR="00A36A2B" w:rsidRDefault="00A36A2B"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E4F46" w14:textId="77777777" w:rsidR="00A36A2B" w:rsidRDefault="00A36A2B" w:rsidP="0091663F">
      <w:pPr>
        <w:spacing w:after="0" w:line="240" w:lineRule="auto"/>
      </w:pPr>
      <w:r>
        <w:separator/>
      </w:r>
    </w:p>
  </w:footnote>
  <w:footnote w:type="continuationSeparator" w:id="0">
    <w:p w14:paraId="35ED4309" w14:textId="77777777" w:rsidR="00A36A2B" w:rsidRDefault="00A36A2B"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3E0007" w:rsidRPr="006361DB" w:rsidRDefault="003E0007"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00130C49" w:rsidRPr="00E414E9">
          <w:rPr>
            <w:noProof/>
          </w:rPr>
          <w:t xml:space="preserve"> </w:t>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sidRPr="00130C49">
          <w:rPr>
            <w:rFonts w:asciiTheme="majorHAnsi" w:eastAsia="Times New Roman" w:hAnsiTheme="majorHAnsi" w:cstheme="majorHAnsi"/>
          </w:rPr>
          <w:t>SADs deviate from statistical baselines</w:t>
        </w:r>
      </w:p>
    </w:sdtContent>
  </w:sdt>
  <w:p w14:paraId="4EBACEEC" w14:textId="77777777" w:rsidR="003E0007" w:rsidRDefault="003E0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15107E" w:rsidRDefault="0015107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84946"/>
    <w:rsid w:val="00090129"/>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C08"/>
    <w:rsid w:val="000C4C33"/>
    <w:rsid w:val="000C5472"/>
    <w:rsid w:val="000C5706"/>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73D"/>
    <w:rsid w:val="000D5FC0"/>
    <w:rsid w:val="000D602C"/>
    <w:rsid w:val="000D6E21"/>
    <w:rsid w:val="000D71B9"/>
    <w:rsid w:val="000D7454"/>
    <w:rsid w:val="000D79DD"/>
    <w:rsid w:val="000D7ACF"/>
    <w:rsid w:val="000D7FBF"/>
    <w:rsid w:val="000E02AA"/>
    <w:rsid w:val="000E15E2"/>
    <w:rsid w:val="000E168C"/>
    <w:rsid w:val="000E2FAB"/>
    <w:rsid w:val="000E3932"/>
    <w:rsid w:val="000E4439"/>
    <w:rsid w:val="000E69DF"/>
    <w:rsid w:val="000E6CC1"/>
    <w:rsid w:val="000E6F71"/>
    <w:rsid w:val="000E725A"/>
    <w:rsid w:val="000E7276"/>
    <w:rsid w:val="000F04A5"/>
    <w:rsid w:val="000F0E09"/>
    <w:rsid w:val="000F1809"/>
    <w:rsid w:val="000F2604"/>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473B"/>
    <w:rsid w:val="002169B6"/>
    <w:rsid w:val="002173BE"/>
    <w:rsid w:val="00217408"/>
    <w:rsid w:val="00217479"/>
    <w:rsid w:val="002203B4"/>
    <w:rsid w:val="002207D8"/>
    <w:rsid w:val="002218C8"/>
    <w:rsid w:val="002223BB"/>
    <w:rsid w:val="002223C4"/>
    <w:rsid w:val="002235CA"/>
    <w:rsid w:val="00225644"/>
    <w:rsid w:val="002259D5"/>
    <w:rsid w:val="00225B97"/>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5A3D"/>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1DB"/>
    <w:rsid w:val="0028134D"/>
    <w:rsid w:val="002818D5"/>
    <w:rsid w:val="00282594"/>
    <w:rsid w:val="00282CB6"/>
    <w:rsid w:val="00282FA3"/>
    <w:rsid w:val="00283C82"/>
    <w:rsid w:val="002844D1"/>
    <w:rsid w:val="002850A3"/>
    <w:rsid w:val="00285199"/>
    <w:rsid w:val="00285BA8"/>
    <w:rsid w:val="00285BD6"/>
    <w:rsid w:val="00285E16"/>
    <w:rsid w:val="0028727A"/>
    <w:rsid w:val="002873A8"/>
    <w:rsid w:val="00287472"/>
    <w:rsid w:val="00287808"/>
    <w:rsid w:val="00287A80"/>
    <w:rsid w:val="00290912"/>
    <w:rsid w:val="00290E59"/>
    <w:rsid w:val="00292F49"/>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CD2"/>
    <w:rsid w:val="0031106A"/>
    <w:rsid w:val="00311FFF"/>
    <w:rsid w:val="003121B7"/>
    <w:rsid w:val="00312613"/>
    <w:rsid w:val="00313A36"/>
    <w:rsid w:val="0031663B"/>
    <w:rsid w:val="0031692C"/>
    <w:rsid w:val="00316C6A"/>
    <w:rsid w:val="00320D37"/>
    <w:rsid w:val="00321180"/>
    <w:rsid w:val="003213A3"/>
    <w:rsid w:val="0032143D"/>
    <w:rsid w:val="00321F4E"/>
    <w:rsid w:val="003226E6"/>
    <w:rsid w:val="00322A79"/>
    <w:rsid w:val="00322B6A"/>
    <w:rsid w:val="00325843"/>
    <w:rsid w:val="00325EF2"/>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20B"/>
    <w:rsid w:val="00387C3B"/>
    <w:rsid w:val="00390723"/>
    <w:rsid w:val="00390943"/>
    <w:rsid w:val="0039123D"/>
    <w:rsid w:val="00391544"/>
    <w:rsid w:val="0039173B"/>
    <w:rsid w:val="0039186A"/>
    <w:rsid w:val="00391ED5"/>
    <w:rsid w:val="00392706"/>
    <w:rsid w:val="00392D3C"/>
    <w:rsid w:val="00395CA5"/>
    <w:rsid w:val="003976D0"/>
    <w:rsid w:val="00397FD1"/>
    <w:rsid w:val="003A056C"/>
    <w:rsid w:val="003A0680"/>
    <w:rsid w:val="003A18E6"/>
    <w:rsid w:val="003A1ED1"/>
    <w:rsid w:val="003A2681"/>
    <w:rsid w:val="003A2785"/>
    <w:rsid w:val="003A27DE"/>
    <w:rsid w:val="003A2AF0"/>
    <w:rsid w:val="003A3802"/>
    <w:rsid w:val="003A4926"/>
    <w:rsid w:val="003A50B6"/>
    <w:rsid w:val="003A526D"/>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0F83"/>
    <w:rsid w:val="00462CA0"/>
    <w:rsid w:val="00462F7E"/>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DE7"/>
    <w:rsid w:val="004A3BC8"/>
    <w:rsid w:val="004A4865"/>
    <w:rsid w:val="004A49A5"/>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527E"/>
    <w:rsid w:val="004B531F"/>
    <w:rsid w:val="004B5719"/>
    <w:rsid w:val="004B69D7"/>
    <w:rsid w:val="004B6A01"/>
    <w:rsid w:val="004B6D6B"/>
    <w:rsid w:val="004B7670"/>
    <w:rsid w:val="004C0B53"/>
    <w:rsid w:val="004C1477"/>
    <w:rsid w:val="004C250E"/>
    <w:rsid w:val="004C347F"/>
    <w:rsid w:val="004C3E25"/>
    <w:rsid w:val="004C3E59"/>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0969"/>
    <w:rsid w:val="004E26B4"/>
    <w:rsid w:val="004E27AF"/>
    <w:rsid w:val="004E2F1C"/>
    <w:rsid w:val="004E33BA"/>
    <w:rsid w:val="004E349F"/>
    <w:rsid w:val="004E4D84"/>
    <w:rsid w:val="004E5305"/>
    <w:rsid w:val="004E5322"/>
    <w:rsid w:val="004E64F5"/>
    <w:rsid w:val="004E7269"/>
    <w:rsid w:val="004E7643"/>
    <w:rsid w:val="004F0044"/>
    <w:rsid w:val="004F3C36"/>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EA8"/>
    <w:rsid w:val="00512922"/>
    <w:rsid w:val="00513161"/>
    <w:rsid w:val="00513254"/>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4FF"/>
    <w:rsid w:val="005946CC"/>
    <w:rsid w:val="005947AA"/>
    <w:rsid w:val="00594DBB"/>
    <w:rsid w:val="0059507B"/>
    <w:rsid w:val="0059569A"/>
    <w:rsid w:val="005976D9"/>
    <w:rsid w:val="00597833"/>
    <w:rsid w:val="005978AF"/>
    <w:rsid w:val="005978D5"/>
    <w:rsid w:val="005A1B6E"/>
    <w:rsid w:val="005A1B7A"/>
    <w:rsid w:val="005A27AE"/>
    <w:rsid w:val="005A3073"/>
    <w:rsid w:val="005A4270"/>
    <w:rsid w:val="005A42E9"/>
    <w:rsid w:val="005A4CBA"/>
    <w:rsid w:val="005A4E8C"/>
    <w:rsid w:val="005B06B9"/>
    <w:rsid w:val="005B0D13"/>
    <w:rsid w:val="005B2C68"/>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DA4"/>
    <w:rsid w:val="006E7EBD"/>
    <w:rsid w:val="006E7FD1"/>
    <w:rsid w:val="006F05CF"/>
    <w:rsid w:val="006F1858"/>
    <w:rsid w:val="006F1C6E"/>
    <w:rsid w:val="006F1FBF"/>
    <w:rsid w:val="006F2E74"/>
    <w:rsid w:val="006F32EE"/>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32B5"/>
    <w:rsid w:val="00764A93"/>
    <w:rsid w:val="00764D0B"/>
    <w:rsid w:val="007659BB"/>
    <w:rsid w:val="00765D63"/>
    <w:rsid w:val="00770024"/>
    <w:rsid w:val="007708B8"/>
    <w:rsid w:val="00771E3C"/>
    <w:rsid w:val="007727A5"/>
    <w:rsid w:val="007727D6"/>
    <w:rsid w:val="00772B2E"/>
    <w:rsid w:val="0077324E"/>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11E5"/>
    <w:rsid w:val="0079354B"/>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70F"/>
    <w:rsid w:val="007D658E"/>
    <w:rsid w:val="007D65C5"/>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3083C"/>
    <w:rsid w:val="008308C5"/>
    <w:rsid w:val="00830E2E"/>
    <w:rsid w:val="008320B9"/>
    <w:rsid w:val="0083254B"/>
    <w:rsid w:val="00833348"/>
    <w:rsid w:val="00833776"/>
    <w:rsid w:val="00833CF4"/>
    <w:rsid w:val="00835226"/>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E96"/>
    <w:rsid w:val="008C10D8"/>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20D"/>
    <w:rsid w:val="009124B1"/>
    <w:rsid w:val="009126A4"/>
    <w:rsid w:val="00913F75"/>
    <w:rsid w:val="0091400B"/>
    <w:rsid w:val="00914552"/>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66"/>
    <w:rsid w:val="00946B32"/>
    <w:rsid w:val="009513CC"/>
    <w:rsid w:val="00951A4A"/>
    <w:rsid w:val="009538CE"/>
    <w:rsid w:val="00953C2B"/>
    <w:rsid w:val="009544E9"/>
    <w:rsid w:val="009550A4"/>
    <w:rsid w:val="00956712"/>
    <w:rsid w:val="00956D9B"/>
    <w:rsid w:val="00957275"/>
    <w:rsid w:val="00957AD6"/>
    <w:rsid w:val="00960194"/>
    <w:rsid w:val="009608F2"/>
    <w:rsid w:val="009618E5"/>
    <w:rsid w:val="00961C40"/>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963"/>
    <w:rsid w:val="009F0CC0"/>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7E2C"/>
    <w:rsid w:val="00A80168"/>
    <w:rsid w:val="00A8142D"/>
    <w:rsid w:val="00A833EC"/>
    <w:rsid w:val="00A836A5"/>
    <w:rsid w:val="00A84783"/>
    <w:rsid w:val="00A860BF"/>
    <w:rsid w:val="00A86655"/>
    <w:rsid w:val="00A86998"/>
    <w:rsid w:val="00A87017"/>
    <w:rsid w:val="00A870B0"/>
    <w:rsid w:val="00A87D8C"/>
    <w:rsid w:val="00A90B6D"/>
    <w:rsid w:val="00A91A5B"/>
    <w:rsid w:val="00A9282E"/>
    <w:rsid w:val="00A92F5C"/>
    <w:rsid w:val="00A931B4"/>
    <w:rsid w:val="00A932DB"/>
    <w:rsid w:val="00A94D04"/>
    <w:rsid w:val="00A950D6"/>
    <w:rsid w:val="00A97506"/>
    <w:rsid w:val="00A97EF4"/>
    <w:rsid w:val="00AA01D5"/>
    <w:rsid w:val="00AA203C"/>
    <w:rsid w:val="00AA25BC"/>
    <w:rsid w:val="00AA3586"/>
    <w:rsid w:val="00AA3A8A"/>
    <w:rsid w:val="00AA42F8"/>
    <w:rsid w:val="00AA66D0"/>
    <w:rsid w:val="00AA7154"/>
    <w:rsid w:val="00AA781C"/>
    <w:rsid w:val="00AB04D0"/>
    <w:rsid w:val="00AB2133"/>
    <w:rsid w:val="00AB3236"/>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51"/>
    <w:rsid w:val="00BD2A97"/>
    <w:rsid w:val="00BD2FCD"/>
    <w:rsid w:val="00BD41C6"/>
    <w:rsid w:val="00BD4809"/>
    <w:rsid w:val="00BD4E5D"/>
    <w:rsid w:val="00BD5185"/>
    <w:rsid w:val="00BD758A"/>
    <w:rsid w:val="00BE3FAA"/>
    <w:rsid w:val="00BE484D"/>
    <w:rsid w:val="00BE4B9A"/>
    <w:rsid w:val="00BE6265"/>
    <w:rsid w:val="00BE6354"/>
    <w:rsid w:val="00BE66DB"/>
    <w:rsid w:val="00BE72BB"/>
    <w:rsid w:val="00BF0DC4"/>
    <w:rsid w:val="00BF0FD3"/>
    <w:rsid w:val="00BF1FF7"/>
    <w:rsid w:val="00BF2198"/>
    <w:rsid w:val="00BF24C6"/>
    <w:rsid w:val="00BF340B"/>
    <w:rsid w:val="00BF381C"/>
    <w:rsid w:val="00BF4688"/>
    <w:rsid w:val="00BF49D4"/>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100E2"/>
    <w:rsid w:val="00C10D01"/>
    <w:rsid w:val="00C11319"/>
    <w:rsid w:val="00C12941"/>
    <w:rsid w:val="00C12F95"/>
    <w:rsid w:val="00C131F4"/>
    <w:rsid w:val="00C16518"/>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56FA8"/>
    <w:rsid w:val="00C60372"/>
    <w:rsid w:val="00C6118E"/>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C55"/>
    <w:rsid w:val="00D10FDC"/>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651"/>
    <w:rsid w:val="00D50874"/>
    <w:rsid w:val="00D51046"/>
    <w:rsid w:val="00D513C6"/>
    <w:rsid w:val="00D51539"/>
    <w:rsid w:val="00D52A85"/>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7AB"/>
    <w:rsid w:val="00DD1D4F"/>
    <w:rsid w:val="00DD3669"/>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50022"/>
    <w:rsid w:val="00E50333"/>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120"/>
    <w:rsid w:val="00EA256C"/>
    <w:rsid w:val="00EA3E0B"/>
    <w:rsid w:val="00EA412E"/>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EE"/>
    <w:rsid w:val="00ED47E4"/>
    <w:rsid w:val="00ED52C0"/>
    <w:rsid w:val="00ED64F9"/>
    <w:rsid w:val="00ED741B"/>
    <w:rsid w:val="00ED788A"/>
    <w:rsid w:val="00EE19D9"/>
    <w:rsid w:val="00EE1A79"/>
    <w:rsid w:val="00EE1B9D"/>
    <w:rsid w:val="00EE1BB8"/>
    <w:rsid w:val="00EE248A"/>
    <w:rsid w:val="00EE38C3"/>
    <w:rsid w:val="00EE3BEC"/>
    <w:rsid w:val="00EE40BF"/>
    <w:rsid w:val="00EE47E7"/>
    <w:rsid w:val="00EE492D"/>
    <w:rsid w:val="00EE4DC6"/>
    <w:rsid w:val="00EE5BDD"/>
    <w:rsid w:val="00EE5E72"/>
    <w:rsid w:val="00EE6582"/>
    <w:rsid w:val="00EE6AC7"/>
    <w:rsid w:val="00EE6D41"/>
    <w:rsid w:val="00EE6EF8"/>
    <w:rsid w:val="00EE71CB"/>
    <w:rsid w:val="00EE73B1"/>
    <w:rsid w:val="00EE792F"/>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325"/>
    <w:rsid w:val="00FE06D2"/>
    <w:rsid w:val="00FE102C"/>
    <w:rsid w:val="00FE136F"/>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diazrenata/feasiblesad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microsoft.com/office/2011/relationships/people" Target="people.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haoye@ufl.edu"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20</Pages>
  <Words>5724</Words>
  <Characters>32628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678</cp:revision>
  <dcterms:created xsi:type="dcterms:W3CDTF">2020-12-13T20:50:00Z</dcterms:created>
  <dcterms:modified xsi:type="dcterms:W3CDTF">2021-01-15T17:53:00Z</dcterms:modified>
</cp:coreProperties>
</file>