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w:t>
      </w:r>
      <w:proofErr w:type="spellStart"/>
      <w:r w:rsidR="00BC0013">
        <w:rPr>
          <w:rFonts w:asciiTheme="majorHAnsi" w:eastAsia="Times New Roman" w:hAnsiTheme="majorHAnsi" w:cstheme="majorHAnsi"/>
        </w:rPr>
        <w:t>Haegeman</w:t>
      </w:r>
      <w:proofErr w:type="spellEnd"/>
      <w:r w:rsidR="00BC0013">
        <w:rPr>
          <w:rFonts w:asciiTheme="majorHAnsi" w:eastAsia="Times New Roman" w:hAnsiTheme="majorHAnsi" w:cstheme="majorHAnsi"/>
        </w:rPr>
        <w:t xml:space="preserve"> and </w:t>
      </w:r>
      <w:proofErr w:type="spellStart"/>
      <w:r w:rsidR="00BC0013">
        <w:rPr>
          <w:rFonts w:asciiTheme="majorHAnsi" w:eastAsia="Times New Roman" w:hAnsiTheme="majorHAnsi" w:cstheme="majorHAnsi"/>
        </w:rPr>
        <w:t>Loreau</w:t>
      </w:r>
      <w:proofErr w:type="spellEnd"/>
      <w:r w:rsidR="00BC0013">
        <w:rPr>
          <w:rFonts w:asciiTheme="majorHAnsi" w:eastAsia="Times New Roman" w:hAnsiTheme="majorHAnsi" w:cstheme="majorHAnsi"/>
        </w:rPr>
        <w:t xml:space="preserve">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 xml:space="preserve">when a system involves very large numbers of subcomponents and therefore has numerous possible arrangements, nearly all of the arrangements tend to cluster around one set of large-scale characteristics (Jaynes 1979, </w:t>
      </w:r>
      <w:proofErr w:type="spellStart"/>
      <w:r w:rsidR="00656EB3">
        <w:rPr>
          <w:rFonts w:asciiTheme="majorHAnsi" w:eastAsia="Times New Roman" w:hAnsiTheme="majorHAnsi" w:cstheme="majorHAnsi"/>
        </w:rPr>
        <w:t>Haegeman</w:t>
      </w:r>
      <w:proofErr w:type="spellEnd"/>
      <w:r w:rsidR="00656EB3">
        <w:rPr>
          <w:rFonts w:asciiTheme="majorHAnsi" w:eastAsia="Times New Roman" w:hAnsiTheme="majorHAnsi" w:cstheme="majorHAnsi"/>
        </w:rPr>
        <w:t xml:space="preserve"> and </w:t>
      </w:r>
      <w:proofErr w:type="spellStart"/>
      <w:r w:rsidR="00656EB3">
        <w:rPr>
          <w:rFonts w:asciiTheme="majorHAnsi" w:eastAsia="Times New Roman" w:hAnsiTheme="majorHAnsi" w:cstheme="majorHAnsi"/>
        </w:rPr>
        <w:t>Loreau</w:t>
      </w:r>
      <w:proofErr w:type="spellEnd"/>
      <w:r w:rsidR="00656EB3">
        <w:rPr>
          <w:rFonts w:asciiTheme="majorHAnsi" w:eastAsia="Times New Roman" w:hAnsiTheme="majorHAnsi" w:cstheme="majorHAnsi"/>
        </w:rPr>
        <w:t xml:space="preserve">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w:t>
      </w:r>
      <w:proofErr w:type="spellStart"/>
      <w:r w:rsidR="008F41B5">
        <w:rPr>
          <w:rFonts w:asciiTheme="majorHAnsi" w:eastAsia="Times New Roman" w:hAnsiTheme="majorHAnsi" w:cstheme="majorHAnsi"/>
        </w:rPr>
        <w:t>Haegeman</w:t>
      </w:r>
      <w:proofErr w:type="spellEnd"/>
      <w:r w:rsidR="008F41B5">
        <w:rPr>
          <w:rFonts w:asciiTheme="majorHAnsi" w:eastAsia="Times New Roman" w:hAnsiTheme="majorHAnsi" w:cstheme="majorHAnsi"/>
        </w:rPr>
        <w:t xml:space="preserve"> and </w:t>
      </w:r>
      <w:proofErr w:type="spellStart"/>
      <w:r w:rsidR="008F41B5">
        <w:rPr>
          <w:rFonts w:asciiTheme="majorHAnsi" w:eastAsia="Times New Roman" w:hAnsiTheme="majorHAnsi" w:cstheme="majorHAnsi"/>
        </w:rPr>
        <w:t>Loreau</w:t>
      </w:r>
      <w:proofErr w:type="spellEnd"/>
      <w:r w:rsidR="008F41B5">
        <w:rPr>
          <w:rFonts w:asciiTheme="majorHAnsi" w:eastAsia="Times New Roman" w:hAnsiTheme="majorHAnsi" w:cstheme="majorHAnsi"/>
        </w:rPr>
        <w:t xml:space="preserve">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w:t>
      </w:r>
      <w:proofErr w:type="gramStart"/>
      <w:r w:rsidR="00A5637F">
        <w:rPr>
          <w:rFonts w:asciiTheme="majorHAnsi" w:eastAsia="Times New Roman" w:hAnsiTheme="majorHAnsi" w:cstheme="majorHAnsi"/>
        </w:rPr>
        <w:t>ecology, because</w:t>
      </w:r>
      <w:proofErr w:type="gramEnd"/>
      <w:r w:rsidR="00A5637F">
        <w:rPr>
          <w:rFonts w:asciiTheme="majorHAnsi" w:eastAsia="Times New Roman" w:hAnsiTheme="majorHAnsi" w:cstheme="majorHAnsi"/>
        </w:rPr>
        <w:t xml:space="preserv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w:t>
      </w:r>
      <w:proofErr w:type="gramStart"/>
      <w:r w:rsidR="00E83529">
        <w:rPr>
          <w:rFonts w:asciiTheme="majorHAnsi" w:eastAsia="Times New Roman" w:hAnsiTheme="majorHAnsi" w:cstheme="majorHAnsi"/>
        </w:rPr>
        <w:t>S, because</w:t>
      </w:r>
      <w:proofErr w:type="gramEnd"/>
      <w:r w:rsidR="00E83529">
        <w:rPr>
          <w:rFonts w:asciiTheme="majorHAnsi" w:eastAsia="Times New Roman" w:hAnsiTheme="majorHAnsi" w:cstheme="majorHAnsi"/>
        </w:rPr>
        <w:t xml:space="preserv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We focus on two metrics to describe the shape of the SAD, </w:t>
      </w:r>
      <w:proofErr w:type="gramStart"/>
      <w:r w:rsidR="00BD5185">
        <w:rPr>
          <w:rFonts w:asciiTheme="majorHAnsi" w:eastAsia="Times New Roman" w:hAnsiTheme="majorHAnsi" w:cstheme="majorHAnsi"/>
        </w:rPr>
        <w:t>skewness</w:t>
      </w:r>
      <w:proofErr w:type="gramEnd"/>
      <w:r w:rsidR="00BD5185">
        <w:rPr>
          <w:rFonts w:asciiTheme="majorHAnsi" w:eastAsia="Times New Roman" w:hAnsiTheme="majorHAnsi" w:cstheme="majorHAnsi"/>
        </w:rPr>
        <w:t xml:space="preserve">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7"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8"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32812F2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5000 samples to unique elements. For small values of S and N, it can be impossible or highly improbable to randomly draw 5000 unique samples from the feasible set, but for large communities, all 5000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4D02CF60"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distribution less than or equal to the observed value. 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3AA8414A" w14:textId="2049A6B3" w:rsidR="008026CD" w:rsidRPr="008026CD" w:rsidRDefault="008026CD" w:rsidP="0264BE4F">
      <w:pPr>
        <w:rPr>
          <w:rFonts w:asciiTheme="majorHAnsi" w:eastAsia="Times New Roman" w:hAnsiTheme="majorHAnsi" w:cstheme="majorHAnsi"/>
          <w:i/>
          <w:iCs/>
        </w:rPr>
      </w:pPr>
      <w:r>
        <w:rPr>
          <w:rFonts w:asciiTheme="majorHAnsi" w:eastAsia="Times New Roman" w:hAnsiTheme="majorHAnsi" w:cstheme="majorHAnsi"/>
          <w:i/>
          <w:iCs/>
        </w:rPr>
        <w:t>The narrowness of the expectation</w:t>
      </w:r>
    </w:p>
    <w:p w14:paraId="0AC6A8ED" w14:textId="7F74B09C"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 xml:space="preserve">We found evidence that the shapes of the SADs for a range of real ecological communities are statistically unlikely when compared to their feasible sets. For four of the five datasets we analyzed – BBS, Gentry, Mammal Communities, and Misc. </w:t>
      </w:r>
      <w:proofErr w:type="spellStart"/>
      <w:r w:rsidRPr="0056466D">
        <w:rPr>
          <w:rFonts w:asciiTheme="majorHAnsi" w:eastAsia="Times New Roman" w:hAnsiTheme="majorHAnsi" w:cstheme="majorHAnsi"/>
        </w:rPr>
        <w:t>Abund</w:t>
      </w:r>
      <w:proofErr w:type="spellEnd"/>
      <w:r w:rsidRPr="0056466D">
        <w:rPr>
          <w:rFonts w:asciiTheme="majorHAnsi" w:eastAsia="Times New Roman" w:hAnsiTheme="majorHAnsi" w:cstheme="majorHAnsi"/>
        </w:rPr>
        <w:t xml:space="preserve"> – empirical SADs are highly skewed and highly uneven relative to 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which percentile scores were near uniformly-distributed for skewness (5% of observations are more skewed than 95% of the feasible set), and much noisier than any of the other datasets for evenness (11.5%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60A89CE4" w14:textId="444795BF"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 Community size – in terms of S and N –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 If this occurs, 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These broad distributions may not be specific enough to constitute a strong statistical expectation, </w:t>
      </w:r>
      <w:r w:rsidRPr="0056466D">
        <w:rPr>
          <w:rFonts w:asciiTheme="majorHAnsi" w:eastAsia="Times New Roman" w:hAnsiTheme="majorHAnsi" w:cstheme="majorHAnsi"/>
        </w:rPr>
        <w:lastRenderedPageBreak/>
        <w:t xml:space="preserve">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evenness were unlikely relative to their feasible sets. Although this comparison is based on relatively few communities (X non-FIA, small, communities), it is consistent with the possibility that small community size, </w:t>
      </w:r>
      <w:r w:rsidR="00A0684A">
        <w:rPr>
          <w:rFonts w:asciiTheme="majorHAnsi" w:eastAsia="Times New Roman" w:hAnsiTheme="majorHAnsi" w:cstheme="majorHAnsi"/>
        </w:rPr>
        <w:t>and not necessarily</w:t>
      </w:r>
      <w:r w:rsidRPr="0056466D">
        <w:rPr>
          <w:rFonts w:asciiTheme="majorHAnsi" w:eastAsia="Times New Roman" w:hAnsiTheme="majorHAnsi" w:cstheme="majorHAnsi"/>
        </w:rPr>
        <w:t xml:space="preserve"> other characteristics related to FIA, may drive this phenomenon. </w:t>
      </w:r>
    </w:p>
    <w:p w14:paraId="5C385BA5" w14:textId="77777777"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 xml:space="preserve">As a group, the FIA communities had especially broad distributions of shape metrics, and exhibited an overall lack of detectable signal. These </w:t>
      </w:r>
      <w:proofErr w:type="gramStart"/>
      <w:r w:rsidRPr="0056466D">
        <w:rPr>
          <w:rFonts w:asciiTheme="majorHAnsi" w:eastAsia="Times New Roman" w:hAnsiTheme="majorHAnsi" w:cstheme="majorHAnsi"/>
        </w:rPr>
        <w:t>communities</w:t>
      </w:r>
      <w:proofErr w:type="gramEnd"/>
      <w:r w:rsidRPr="0056466D">
        <w:rPr>
          <w:rFonts w:asciiTheme="majorHAnsi" w:eastAsia="Times New Roman" w:hAnsiTheme="majorHAnsi" w:cstheme="majorHAnsi"/>
        </w:rPr>
        <w:t xml:space="preserve">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3F97C9D8" w14:textId="7334C8C2"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 xml:space="preserve">This phenomenon </w:t>
      </w:r>
      <w:r>
        <w:rPr>
          <w:rFonts w:asciiTheme="majorHAnsi" w:eastAsia="Times New Roman" w:hAnsiTheme="majorHAnsi" w:cstheme="majorHAnsi"/>
        </w:rPr>
        <w:t xml:space="preserve">also has </w:t>
      </w:r>
      <w:r>
        <w:rPr>
          <w:rFonts w:asciiTheme="majorHAnsi" w:eastAsia="Times New Roman" w:hAnsiTheme="majorHAnsi" w:cstheme="majorHAnsi"/>
        </w:rPr>
        <w:t xml:space="preserve">more general implications for </w:t>
      </w:r>
      <w:r>
        <w:rPr>
          <w:rFonts w:asciiTheme="majorHAnsi" w:eastAsia="Times New Roman" w:hAnsiTheme="majorHAnsi" w:cstheme="majorHAnsi"/>
        </w:rPr>
        <w:t>the</w:t>
      </w:r>
      <w:r w:rsidR="00E0615A">
        <w:rPr>
          <w:rFonts w:asciiTheme="majorHAnsi" w:eastAsia="Times New Roman" w:hAnsiTheme="majorHAnsi" w:cstheme="majorHAnsi"/>
        </w:rPr>
        <w:t xml:space="preserve"> </w:t>
      </w:r>
      <w:r>
        <w:rPr>
          <w:rFonts w:asciiTheme="majorHAnsi" w:eastAsia="Times New Roman" w:hAnsiTheme="majorHAnsi" w:cstheme="majorHAnsi"/>
        </w:rPr>
        <w:t xml:space="preserve">trend in </w:t>
      </w:r>
      <w:r>
        <w:rPr>
          <w:rFonts w:asciiTheme="majorHAnsi" w:eastAsia="Times New Roman" w:hAnsiTheme="majorHAnsi" w:cstheme="majorHAnsi"/>
        </w:rPr>
        <w:t>macroecolog</w:t>
      </w:r>
      <w:r>
        <w:rPr>
          <w:rFonts w:asciiTheme="majorHAnsi" w:eastAsia="Times New Roman" w:hAnsiTheme="majorHAnsi" w:cstheme="majorHAnsi"/>
        </w:rPr>
        <w:t>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While concepts such as maximum entropy and the feasible set are promising new horizons for macroecology, the small size of some ecological communities may present challenges that do not occur as often in the large systems for which these concepts were originally developed</w:t>
      </w:r>
      <w:r w:rsidR="00633066">
        <w:rPr>
          <w:rFonts w:asciiTheme="majorHAnsi" w:eastAsia="Times New Roman" w:hAnsiTheme="majorHAnsi" w:cstheme="majorHAnsi"/>
        </w:rPr>
        <w:t xml:space="preserve"> (</w:t>
      </w:r>
      <w:proofErr w:type="spellStart"/>
      <w:r w:rsidR="00633066">
        <w:rPr>
          <w:rFonts w:asciiTheme="majorHAnsi" w:eastAsia="Times New Roman" w:hAnsiTheme="majorHAnsi" w:cstheme="majorHAnsi"/>
        </w:rPr>
        <w:t>Haegeman</w:t>
      </w:r>
      <w:proofErr w:type="spellEnd"/>
      <w:r w:rsidR="00633066">
        <w:rPr>
          <w:rFonts w:asciiTheme="majorHAnsi" w:eastAsia="Times New Roman" w:hAnsiTheme="majorHAnsi" w:cstheme="majorHAnsi"/>
        </w:rPr>
        <w:t xml:space="preserve"> and </w:t>
      </w:r>
      <w:proofErr w:type="spellStart"/>
      <w:r w:rsidR="00633066">
        <w:rPr>
          <w:rFonts w:asciiTheme="majorHAnsi" w:eastAsia="Times New Roman" w:hAnsiTheme="majorHAnsi" w:cstheme="majorHAnsi"/>
        </w:rPr>
        <w:t>Loreau</w:t>
      </w:r>
      <w:proofErr w:type="spellEnd"/>
      <w:r w:rsidR="00633066">
        <w:rPr>
          <w:rFonts w:asciiTheme="majorHAnsi" w:eastAsia="Times New Roman" w:hAnsiTheme="majorHAnsi" w:cstheme="majorHAnsi"/>
        </w:rPr>
        <w:t>)</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systems</w:t>
      </w:r>
      <w:r w:rsidR="00120100" w:rsidRPr="002F2FBC">
        <w:rPr>
          <w:rFonts w:asciiTheme="majorHAnsi" w:eastAsia="Times New Roman" w:hAnsiTheme="majorHAnsi" w:cstheme="majorHAnsi"/>
        </w:rPr>
        <w:t xml:space="preserve"> </w:t>
      </w:r>
      <w:proofErr w:type="gramStart"/>
      <w:r w:rsidR="00120100" w:rsidRPr="002F2FBC">
        <w:rPr>
          <w:rFonts w:asciiTheme="majorHAnsi" w:eastAsia="Times New Roman" w:hAnsiTheme="majorHAnsi" w:cstheme="majorHAnsi"/>
        </w:rPr>
        <w:t>produce</w:t>
      </w:r>
      <w:proofErr w:type="gramEnd"/>
      <w:r w:rsidR="00120100" w:rsidRPr="002F2FBC">
        <w:rPr>
          <w:rFonts w:asciiTheme="majorHAnsi" w:eastAsia="Times New Roman" w:hAnsiTheme="majorHAnsi" w:cstheme="majorHAnsi"/>
        </w:rPr>
        <w:t xml:space="preserve"> broad,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193CE65B"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proofErr w:type="spellStart"/>
      <w:r w:rsidR="00331DE6">
        <w:rPr>
          <w:rFonts w:asciiTheme="majorHAnsi" w:eastAsia="Times New Roman" w:hAnsiTheme="majorHAnsi" w:cstheme="majorHAnsi"/>
        </w:rPr>
        <w:t>Locey</w:t>
      </w:r>
      <w:proofErr w:type="spellEnd"/>
      <w:r w:rsidR="00331DE6">
        <w:rPr>
          <w:rFonts w:asciiTheme="majorHAnsi" w:eastAsia="Times New Roman" w:hAnsiTheme="majorHAnsi" w:cstheme="majorHAnsi"/>
        </w:rPr>
        <w:t xml:space="preserve"> and White 2013; </w:t>
      </w:r>
      <w:proofErr w:type="spellStart"/>
      <w:r w:rsidR="002319BD">
        <w:rPr>
          <w:rFonts w:asciiTheme="majorHAnsi" w:eastAsia="Times New Roman" w:hAnsiTheme="majorHAnsi" w:cstheme="majorHAnsi"/>
        </w:rPr>
        <w:t>Haegeman</w:t>
      </w:r>
      <w:proofErr w:type="spellEnd"/>
      <w:r w:rsidR="002319BD">
        <w:rPr>
          <w:rFonts w:asciiTheme="majorHAnsi" w:eastAsia="Times New Roman" w:hAnsiTheme="majorHAnsi" w:cstheme="majorHAnsi"/>
        </w:rPr>
        <w:t xml:space="preserve"> and </w:t>
      </w:r>
      <w:proofErr w:type="spellStart"/>
      <w:r w:rsidR="002319BD">
        <w:rPr>
          <w:rFonts w:asciiTheme="majorHAnsi" w:eastAsia="Times New Roman" w:hAnsiTheme="majorHAnsi" w:cstheme="majorHAnsi"/>
        </w:rPr>
        <w:t>Loreau</w:t>
      </w:r>
      <w:proofErr w:type="spellEnd"/>
      <w:r w:rsidR="002319BD">
        <w:rPr>
          <w:rFonts w:asciiTheme="majorHAnsi" w:eastAsia="Times New Roman" w:hAnsiTheme="majorHAnsi" w:cstheme="majorHAnsi"/>
        </w:rPr>
        <w:t xml:space="preserve">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w:t>
      </w:r>
      <w:r w:rsidRPr="0056466D">
        <w:rPr>
          <w:rFonts w:asciiTheme="majorHAnsi" w:eastAsia="Times New Roman" w:hAnsiTheme="majorHAnsi" w:cstheme="majorHAnsi"/>
        </w:rPr>
        <w:lastRenderedPageBreak/>
        <w:t xml:space="preserve">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0" w:name="_Figure_1:_Communities"/>
      <w:bookmarkEnd w:id="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7" w:name="_Figure_2:_95%"/>
      <w:bookmarkEnd w:id="27"/>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0">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1"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28" w:name="_Figure_3:_Skewness_1"/>
      <w:bookmarkEnd w:id="28"/>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29" w:name="_Figure_4:_Evenness"/>
      <w:bookmarkEnd w:id="29"/>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0" w:name="_Figure_5:_Rarefaction"/>
      <w:bookmarkEnd w:id="30"/>
    </w:p>
    <w:p w14:paraId="29B8BD1B" w14:textId="3E8E8F91" w:rsidR="00C6339B" w:rsidRPr="00C30341" w:rsidRDefault="00040946" w:rsidP="00C30341">
      <w:pPr>
        <w:pStyle w:val="Heading5"/>
        <w:rPr>
          <w:rFonts w:cstheme="majorHAnsi"/>
        </w:rPr>
      </w:pPr>
      <w:bookmarkStart w:id="31" w:name="_Figure_6:_Percentile"/>
      <w:bookmarkEnd w:id="31"/>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32" w:name="_Figure_7:_Percentile"/>
      <w:bookmarkEnd w:id="32"/>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33" w:name="_Figure_8:_95%"/>
      <w:bookmarkEnd w:id="33"/>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rFonts w:asciiTheme="majorHAnsi" w:hAnsiTheme="majorHAnsi" w:cstheme="majorHAnsi"/>
        </w:rPr>
      </w:pPr>
      <w:r>
        <w:rPr>
          <w:rFonts w:asciiTheme="majorHAnsi" w:hAnsiTheme="majorHAnsi" w:cstheme="majorHAnsi"/>
        </w:rPr>
        <w:br w:type="page"/>
      </w:r>
    </w:p>
    <w:p w14:paraId="4B616170" w14:textId="7CBDBCE8" w:rsidR="009469A9" w:rsidRDefault="009469A9">
      <w:pPr>
        <w:rPr>
          <w:rFonts w:asciiTheme="majorHAnsi" w:hAnsiTheme="majorHAnsi" w:cstheme="majorHAnsi"/>
          <w:b/>
          <w:bCs/>
        </w:rPr>
      </w:pPr>
      <w:r>
        <w:rPr>
          <w:rFonts w:asciiTheme="majorHAnsi" w:hAnsiTheme="majorHAnsi" w:cstheme="majorHAnsi"/>
          <w:b/>
          <w:bCs/>
        </w:rPr>
        <w:lastRenderedPageBreak/>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5FC0"/>
    <w:rsid w:val="000D602C"/>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22D3"/>
    <w:rsid w:val="00302C5C"/>
    <w:rsid w:val="003045BC"/>
    <w:rsid w:val="00304905"/>
    <w:rsid w:val="003064AE"/>
    <w:rsid w:val="0030682E"/>
    <w:rsid w:val="00307DB9"/>
    <w:rsid w:val="00311FFF"/>
    <w:rsid w:val="003121B7"/>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74294"/>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B96"/>
    <w:rsid w:val="00974E7D"/>
    <w:rsid w:val="00976125"/>
    <w:rsid w:val="00976538"/>
    <w:rsid w:val="0097699D"/>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84A"/>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2FDE"/>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0ye/feasiblesads/blob/algo-vignette/vignettes/sampling_algorithm.Rm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github.com/diazrenata/feasibles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13</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740</cp:revision>
  <dcterms:created xsi:type="dcterms:W3CDTF">2020-06-02T13:55:00Z</dcterms:created>
  <dcterms:modified xsi:type="dcterms:W3CDTF">2020-08-01T18:58:00Z</dcterms:modified>
</cp:coreProperties>
</file>