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E95E" w14:textId="6F4CF6B3" w:rsidR="00887B5B" w:rsidRPr="009C77E0" w:rsidRDefault="007B0660" w:rsidP="009C77E0">
      <w:pPr>
        <w:pStyle w:val="Title"/>
        <w:spacing w:line="480" w:lineRule="auto"/>
        <w:jc w:val="left"/>
        <w:rPr>
          <w:rFonts w:ascii="Calibri Light" w:hAnsi="Calibri Light" w:cs="Calibri Light"/>
          <w:color w:val="auto"/>
          <w:sz w:val="22"/>
          <w:szCs w:val="22"/>
        </w:rPr>
      </w:pPr>
      <w:r w:rsidRPr="009C77E0">
        <w:rPr>
          <w:rFonts w:ascii="Calibri Light" w:hAnsi="Calibri Light" w:cs="Calibri Light"/>
          <w:color w:val="auto"/>
          <w:sz w:val="22"/>
          <w:szCs w:val="22"/>
        </w:rPr>
        <w:t xml:space="preserve">Appendix </w:t>
      </w:r>
      <w:r w:rsidR="0069390A">
        <w:rPr>
          <w:rFonts w:ascii="Calibri Light" w:hAnsi="Calibri Light" w:cs="Calibri Light"/>
          <w:color w:val="auto"/>
          <w:sz w:val="22"/>
          <w:szCs w:val="22"/>
        </w:rPr>
        <w:t>S</w:t>
      </w:r>
      <w:r w:rsidR="00616C43">
        <w:rPr>
          <w:rFonts w:ascii="Calibri Light" w:hAnsi="Calibri Light" w:cs="Calibri Light"/>
          <w:color w:val="auto"/>
          <w:sz w:val="22"/>
          <w:szCs w:val="22"/>
        </w:rPr>
        <w:t>4</w:t>
      </w:r>
      <w:r w:rsidRPr="009C77E0">
        <w:rPr>
          <w:rFonts w:ascii="Calibri Light" w:hAnsi="Calibri Light" w:cs="Calibri Light"/>
          <w:color w:val="auto"/>
          <w:sz w:val="22"/>
          <w:szCs w:val="22"/>
        </w:rPr>
        <w:t xml:space="preserve"> - Self-similarity of the elements of the feasible set</w:t>
      </w:r>
    </w:p>
    <w:p w14:paraId="1479AA6C"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are interested in how the self-similarity of the elements of the feasible set varies over gradients in S and N. The more self-similar the feasible set is, the less likely it is for us to obtain a SAD that differs from the majority of the feasible set by chance. The intuition from “common-sense” 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14:paraId="1A8B9A9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In the manuscript, we use a breadth index defined as ratio of the 95% interval of summary statistic values : the full range of summary statistic values. This can be calculated quickly and is easily interpretable. It also directly reflects the distributions to which we are comparing our observations. However, it is not a widely-used metric. Also, if the summary statistic values are idiosyncratic (skewness in particular can behave counterintuitively), it can reflect those idiosyncracies.</w:t>
      </w:r>
    </w:p>
    <w:p w14:paraId="78B69D3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With more computing, we can explore how similar the elements of the feasible set are to each other by comparing them to each other directly. Then we can ask whether, as the feasible set gets large, the elements become more similar and converge on a dominant form.</w:t>
      </w:r>
    </w:p>
    <w:p w14:paraId="10BB668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0" w:name="overview"/>
      <w:r w:rsidRPr="009C77E0">
        <w:rPr>
          <w:rFonts w:ascii="Calibri Light" w:hAnsi="Calibri Light" w:cs="Calibri Light"/>
          <w:color w:val="auto"/>
          <w:sz w:val="22"/>
          <w:szCs w:val="22"/>
        </w:rPr>
        <w:t>Overview</w:t>
      </w:r>
      <w:bookmarkEnd w:id="0"/>
    </w:p>
    <w:p w14:paraId="005957EF"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w:t>
      </w:r>
      <w:r w:rsidRPr="009C77E0">
        <w:rPr>
          <w:rFonts w:ascii="Calibri Light" w:hAnsi="Calibri Light" w:cs="Calibri Light"/>
          <w:sz w:val="22"/>
          <w:szCs w:val="22"/>
        </w:rPr>
        <w:lastRenderedPageBreak/>
        <w:t>compare how self-similar different feasible sets are by comparing the distributions of self-similarity metrics for the different feasible sets.</w:t>
      </w:r>
    </w:p>
    <w:p w14:paraId="7E8F2E3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we demonstrate this process for an example feasible set, and then present results for feasible sets spanning the range of S and N present in our data.</w:t>
      </w:r>
    </w:p>
    <w:p w14:paraId="55ECA4E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 w:name="example"/>
      <w:r w:rsidRPr="009C77E0">
        <w:rPr>
          <w:rFonts w:ascii="Calibri Light" w:hAnsi="Calibri Light" w:cs="Calibri Light"/>
          <w:color w:val="auto"/>
          <w:sz w:val="22"/>
          <w:szCs w:val="22"/>
        </w:rPr>
        <w:t>Example</w:t>
      </w:r>
      <w:bookmarkEnd w:id="1"/>
    </w:p>
    <w:p w14:paraId="727F580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a bank of 3870 samples from the feasible set for SADs with 7 species and 71 individuals. We draw two of these samples to compare.</w:t>
      </w:r>
    </w:p>
    <w:p w14:paraId="1A611F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B18348C" wp14:editId="4AA4CB6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F1BAC79" wp14:editId="53B45C12">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1B0216E4"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have implemented 5 metrics of similarity for comparing samples:</w:t>
      </w:r>
    </w:p>
    <w:p w14:paraId="3A34F4C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w:t>
      </w:r>
      <w:r w:rsidRPr="009C77E0">
        <w:rPr>
          <w:rStyle w:val="VerbatimChar"/>
          <w:rFonts w:ascii="Calibri Light" w:hAnsi="Calibri Light" w:cs="Calibri Light"/>
          <w:szCs w:val="22"/>
        </w:rPr>
        <w:t>r2</w:t>
      </w:r>
      <w:r w:rsidRPr="009C77E0">
        <w:rPr>
          <w:rFonts w:ascii="Calibri Light" w:hAnsi="Calibri Light" w:cs="Calibri Light"/>
          <w:sz w:val="22"/>
          <w:szCs w:val="22"/>
        </w:rPr>
        <w:t>). High R2 indicates higher self-similarity.</w:t>
      </w:r>
    </w:p>
    <w:p w14:paraId="1CA063B8"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on log-transformed abundances (</w:t>
      </w:r>
      <w:r w:rsidRPr="009C77E0">
        <w:rPr>
          <w:rStyle w:val="VerbatimChar"/>
          <w:rFonts w:ascii="Calibri Light" w:hAnsi="Calibri Light" w:cs="Calibri Light"/>
          <w:szCs w:val="22"/>
        </w:rPr>
        <w:t>r2_log</w:t>
      </w:r>
      <w:r w:rsidRPr="009C77E0">
        <w:rPr>
          <w:rFonts w:ascii="Calibri Light" w:hAnsi="Calibri Light" w:cs="Calibri Light"/>
          <w:sz w:val="22"/>
          <w:szCs w:val="22"/>
        </w:rPr>
        <w:t>). Higher values indicate higher self-similarity.</w:t>
      </w:r>
    </w:p>
    <w:p w14:paraId="501E5E5D"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coefficient of determination from a linear model fitting one sample to the other (</w:t>
      </w:r>
      <w:r w:rsidRPr="009C77E0">
        <w:rPr>
          <w:rStyle w:val="VerbatimChar"/>
          <w:rFonts w:ascii="Calibri Light" w:hAnsi="Calibri Light" w:cs="Calibri Light"/>
          <w:szCs w:val="22"/>
        </w:rPr>
        <w:t>cd</w:t>
      </w:r>
      <w:r w:rsidRPr="009C77E0">
        <w:rPr>
          <w:rFonts w:ascii="Calibri Light" w:hAnsi="Calibri Light" w:cs="Calibri Light"/>
          <w:sz w:val="22"/>
          <w:szCs w:val="22"/>
        </w:rPr>
        <w:t>). Higher values indicate higher self-similarity.</w:t>
      </w:r>
    </w:p>
    <w:p w14:paraId="3816EB6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proportion of individuals allocated to species of differing abundances (</w:t>
      </w:r>
      <w:r w:rsidRPr="009C77E0">
        <w:rPr>
          <w:rStyle w:val="VerbatimChar"/>
          <w:rFonts w:ascii="Calibri Light" w:hAnsi="Calibri Light" w:cs="Calibri Light"/>
          <w:szCs w:val="22"/>
        </w:rPr>
        <w:t>prop_off</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p w14:paraId="6252A60A"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lastRenderedPageBreak/>
        <w:t>The estimated Kullback–Leibler divergence between the two samples (</w:t>
      </w:r>
      <w:r w:rsidRPr="009C77E0">
        <w:rPr>
          <w:rStyle w:val="VerbatimChar"/>
          <w:rFonts w:ascii="Calibri Light" w:hAnsi="Calibri Light" w:cs="Calibri Light"/>
          <w:szCs w:val="22"/>
        </w:rPr>
        <w:t>div</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36"/>
        <w:gridCol w:w="663"/>
        <w:gridCol w:w="1162"/>
        <w:gridCol w:w="1162"/>
        <w:gridCol w:w="1162"/>
        <w:gridCol w:w="1162"/>
        <w:gridCol w:w="1162"/>
        <w:gridCol w:w="413"/>
        <w:gridCol w:w="442"/>
        <w:gridCol w:w="782"/>
      </w:tblGrid>
      <w:tr w:rsidR="009C77E0" w:rsidRPr="009C77E0" w14:paraId="11C01FCB" w14:textId="77777777" w:rsidTr="009C77E0">
        <w:tc>
          <w:tcPr>
            <w:tcW w:w="0" w:type="auto"/>
            <w:vAlign w:val="bottom"/>
          </w:tcPr>
          <w:p w14:paraId="17B8A7A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sim1</w:t>
            </w:r>
          </w:p>
        </w:tc>
        <w:tc>
          <w:tcPr>
            <w:tcW w:w="0" w:type="auto"/>
            <w:vAlign w:val="bottom"/>
          </w:tcPr>
          <w:p w14:paraId="22035E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sim2</w:t>
            </w:r>
          </w:p>
        </w:tc>
        <w:tc>
          <w:tcPr>
            <w:tcW w:w="0" w:type="auto"/>
            <w:vAlign w:val="bottom"/>
          </w:tcPr>
          <w:p w14:paraId="764833A8"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w:t>
            </w:r>
          </w:p>
        </w:tc>
        <w:tc>
          <w:tcPr>
            <w:tcW w:w="0" w:type="auto"/>
            <w:vAlign w:val="bottom"/>
          </w:tcPr>
          <w:p w14:paraId="4AF2A95E"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r2_log</w:t>
            </w:r>
          </w:p>
        </w:tc>
        <w:tc>
          <w:tcPr>
            <w:tcW w:w="0" w:type="auto"/>
            <w:vAlign w:val="bottom"/>
          </w:tcPr>
          <w:p w14:paraId="5A5866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cd</w:t>
            </w:r>
          </w:p>
        </w:tc>
        <w:tc>
          <w:tcPr>
            <w:tcW w:w="0" w:type="auto"/>
            <w:vAlign w:val="bottom"/>
          </w:tcPr>
          <w:p w14:paraId="0C5C219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prop_off</w:t>
            </w:r>
          </w:p>
        </w:tc>
        <w:tc>
          <w:tcPr>
            <w:tcW w:w="0" w:type="auto"/>
            <w:vAlign w:val="bottom"/>
          </w:tcPr>
          <w:p w14:paraId="45810727"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div</w:t>
            </w:r>
          </w:p>
        </w:tc>
        <w:tc>
          <w:tcPr>
            <w:tcW w:w="0" w:type="auto"/>
            <w:vAlign w:val="bottom"/>
          </w:tcPr>
          <w:p w14:paraId="01FC3B96"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s0</w:t>
            </w:r>
          </w:p>
        </w:tc>
        <w:tc>
          <w:tcPr>
            <w:tcW w:w="0" w:type="auto"/>
            <w:vAlign w:val="bottom"/>
          </w:tcPr>
          <w:p w14:paraId="4486A9DB"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n0</w:t>
            </w:r>
          </w:p>
        </w:tc>
        <w:tc>
          <w:tcPr>
            <w:tcW w:w="0" w:type="auto"/>
            <w:vAlign w:val="bottom"/>
          </w:tcPr>
          <w:p w14:paraId="7D2F118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nparts</w:t>
            </w:r>
          </w:p>
        </w:tc>
      </w:tr>
      <w:tr w:rsidR="009C77E0" w:rsidRPr="009C77E0" w14:paraId="2BA26666" w14:textId="77777777" w:rsidTr="009C77E0">
        <w:tc>
          <w:tcPr>
            <w:tcW w:w="0" w:type="auto"/>
          </w:tcPr>
          <w:p w14:paraId="1290679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591</w:t>
            </w:r>
          </w:p>
        </w:tc>
        <w:tc>
          <w:tcPr>
            <w:tcW w:w="0" w:type="auto"/>
          </w:tcPr>
          <w:p w14:paraId="48E3ED1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3208</w:t>
            </w:r>
          </w:p>
        </w:tc>
        <w:tc>
          <w:tcPr>
            <w:tcW w:w="0" w:type="auto"/>
          </w:tcPr>
          <w:p w14:paraId="6B0A88C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0.7874279</w:t>
            </w:r>
          </w:p>
        </w:tc>
        <w:tc>
          <w:tcPr>
            <w:tcW w:w="0" w:type="auto"/>
          </w:tcPr>
          <w:p w14:paraId="0E2D3D5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0.7336329</w:t>
            </w:r>
          </w:p>
        </w:tc>
        <w:tc>
          <w:tcPr>
            <w:tcW w:w="0" w:type="auto"/>
          </w:tcPr>
          <w:p w14:paraId="789600CC"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0.8397613</w:t>
            </w:r>
          </w:p>
        </w:tc>
        <w:tc>
          <w:tcPr>
            <w:tcW w:w="0" w:type="auto"/>
          </w:tcPr>
          <w:p w14:paraId="2DA9910A"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0.1971831</w:t>
            </w:r>
          </w:p>
        </w:tc>
        <w:tc>
          <w:tcPr>
            <w:tcW w:w="0" w:type="auto"/>
          </w:tcPr>
          <w:p w14:paraId="5D2DFB1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0.1027579</w:t>
            </w:r>
          </w:p>
        </w:tc>
        <w:tc>
          <w:tcPr>
            <w:tcW w:w="0" w:type="auto"/>
          </w:tcPr>
          <w:p w14:paraId="48063549"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w:t>
            </w:r>
          </w:p>
        </w:tc>
        <w:tc>
          <w:tcPr>
            <w:tcW w:w="0" w:type="auto"/>
          </w:tcPr>
          <w:p w14:paraId="3137178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71</w:t>
            </w:r>
          </w:p>
        </w:tc>
        <w:tc>
          <w:tcPr>
            <w:tcW w:w="0" w:type="auto"/>
          </w:tcPr>
          <w:p w14:paraId="298D452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60289</w:t>
            </w:r>
          </w:p>
        </w:tc>
      </w:tr>
    </w:tbl>
    <w:p w14:paraId="103F15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draw numerous pairs of SADs and compare them numerous times to get distributions for the self similarity metrics.</w:t>
      </w:r>
    </w:p>
    <w:p w14:paraId="5F1EE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493D0EA2" wp14:editId="46672C80">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F23078F" wp14:editId="7DE5E9B6">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843F98E" wp14:editId="62C9A1F6">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C57516D" wp14:editId="6CDBB47C">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3A7FCD9" wp14:editId="1E9BD7CB">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3EE7600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repeat this process for feasible sets for different values of S and N, and compare the distributions for the self-similarity metrics for the different feasible sets. Here we compare the distributions for the self-similarity metrics for our original feasible set (S = 7, N = 71, “small” in the figure) and for a much larger community (S = 44, N = 13360, “large”).</w:t>
      </w:r>
    </w:p>
    <w:p w14:paraId="4D5B7D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5BB23ABF" wp14:editId="5F848D79">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omparison%20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9E0ED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For each metric, the large community is more self-similar than the smaller. That is, it has consistently higher R2, r2_log, and coefficient of determination values, and lower prop_off and K-L divergence.</w:t>
      </w:r>
    </w:p>
    <w:p w14:paraId="5503F48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2" w:name="across-a-range-of-s-and-n"/>
      <w:r w:rsidRPr="009C77E0">
        <w:rPr>
          <w:rFonts w:ascii="Calibri Light" w:hAnsi="Calibri Light" w:cs="Calibri Light"/>
          <w:color w:val="auto"/>
          <w:sz w:val="22"/>
          <w:szCs w:val="22"/>
        </w:rPr>
        <w:t>Across a range of S and N</w:t>
      </w:r>
      <w:bookmarkEnd w:id="2"/>
    </w:p>
    <w:p w14:paraId="13C8E59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log() number of elements in the feasible set.</w:t>
      </w:r>
    </w:p>
    <w:p w14:paraId="1D1D9A91"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7B343DDC" wp14:editId="1E361823">
            <wp:extent cx="2772075" cy="2310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ffs-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13BF810C" w14:textId="77777777" w:rsidR="00887B5B" w:rsidRPr="009C77E0" w:rsidRDefault="007B0660" w:rsidP="009C77E0">
      <w:pPr>
        <w:pStyle w:val="Heading3"/>
        <w:spacing w:line="480" w:lineRule="auto"/>
        <w:rPr>
          <w:rFonts w:ascii="Calibri Light" w:hAnsi="Calibri Light" w:cs="Calibri Light"/>
          <w:color w:val="auto"/>
          <w:sz w:val="22"/>
          <w:szCs w:val="22"/>
        </w:rPr>
      </w:pPr>
      <w:bookmarkStart w:id="3" w:name="heat-maps"/>
      <w:r w:rsidRPr="009C77E0">
        <w:rPr>
          <w:rFonts w:ascii="Calibri Light" w:hAnsi="Calibri Light" w:cs="Calibri Light"/>
          <w:color w:val="auto"/>
          <w:sz w:val="22"/>
          <w:szCs w:val="22"/>
        </w:rPr>
        <w:t>Heat maps</w:t>
      </w:r>
      <w:bookmarkEnd w:id="3"/>
    </w:p>
    <w:p w14:paraId="34C67111"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make heat maps of the density distribution of self-similarity metrics and look at how the densities shift over gradients in the size of the feasible set.</w:t>
      </w:r>
    </w:p>
    <w:p w14:paraId="3BEC6C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There are a couple of nuances to doing this:</w:t>
      </w:r>
    </w:p>
    <w:p w14:paraId="780B1D60"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14:paraId="5D72D286"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 </w:t>
      </w:r>
      <w:r w:rsidRPr="009C77E0">
        <w:rPr>
          <w:rFonts w:ascii="Calibri Light" w:hAnsi="Calibri Light" w:cs="Calibri Light"/>
          <w:i/>
          <w:sz w:val="22"/>
          <w:szCs w:val="22"/>
        </w:rPr>
        <w:t>more</w:t>
      </w:r>
      <w:r w:rsidRPr="009C77E0">
        <w:rPr>
          <w:rFonts w:ascii="Calibri Light" w:hAnsi="Calibri Light" w:cs="Calibri Light"/>
          <w:sz w:val="22"/>
          <w:szCs w:val="22"/>
        </w:rPr>
        <w:t xml:space="preserve"> self-similar.</w:t>
      </w:r>
    </w:p>
    <w:p w14:paraId="1903593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4" w:name="r2"/>
      <w:r w:rsidRPr="009C77E0">
        <w:rPr>
          <w:rFonts w:ascii="Calibri Light" w:hAnsi="Calibri Light" w:cs="Calibri Light"/>
          <w:color w:val="auto"/>
          <w:sz w:val="22"/>
          <w:szCs w:val="22"/>
        </w:rPr>
        <w:lastRenderedPageBreak/>
        <w:t>R2</w:t>
      </w:r>
      <w:bookmarkEnd w:id="4"/>
    </w:p>
    <w:p w14:paraId="30815F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6E3D7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1C48A9E5" wp14:editId="2AAA6BFE">
            <wp:extent cx="2772075" cy="23100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6FDB2C8" wp14:editId="2DC095BF">
            <wp:extent cx="2772075" cy="2310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46FCD69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R2 for only relatively small feasible sets (those with fewer than </w:t>
      </w:r>
      <m:oMath>
        <m:sSup>
          <m:sSupPr>
            <m:ctrlPr>
              <w:rPr>
                <w:rFonts w:ascii="Cambria Math" w:hAnsi="Cambria Math" w:cs="Calibri Light"/>
                <w:sz w:val="22"/>
                <w:szCs w:val="22"/>
              </w:rPr>
            </m:ctrlPr>
          </m:sSupPr>
          <m:e>
            <m:r>
              <w:rPr>
                <w:rFonts w:ascii="Cambria Math" w:hAnsi="Cambria Math" w:cs="Calibri Light"/>
                <w:sz w:val="22"/>
                <w:szCs w:val="22"/>
              </w:rPr>
              <m:t>e</m:t>
            </m:r>
          </m:e>
          <m:sup>
            <m:r>
              <w:rPr>
                <w:rFonts w:ascii="Cambria Math" w:hAnsi="Cambria Math" w:cs="Calibri Light"/>
                <w:sz w:val="22"/>
                <w:szCs w:val="22"/>
              </w:rPr>
              <m:t>20</m:t>
            </m:r>
          </m:sup>
        </m:sSup>
      </m:oMath>
      <w:r w:rsidRPr="009C77E0">
        <w:rPr>
          <w:rFonts w:ascii="Calibri Light" w:hAnsi="Calibri Light" w:cs="Calibri Light"/>
          <w:sz w:val="22"/>
          <w:szCs w:val="22"/>
        </w:rPr>
        <w:t xml:space="preserve"> elements in the feasible set). This lets us zoom in on the distributions where they start to broaden out.</w:t>
      </w:r>
    </w:p>
    <w:p w14:paraId="6CC1C32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3D9A3A" wp14:editId="665274BD">
            <wp:extent cx="2772075" cy="231006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0455766B" wp14:editId="5DAC8EBB">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2.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6068E757"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5" w:name="r2-on-logged-vectors"/>
      <w:r w:rsidRPr="009C77E0">
        <w:rPr>
          <w:rFonts w:ascii="Calibri Light" w:hAnsi="Calibri Light" w:cs="Calibri Light"/>
          <w:color w:val="auto"/>
          <w:sz w:val="22"/>
          <w:szCs w:val="22"/>
        </w:rPr>
        <w:t>R2 on logged vectors</w:t>
      </w:r>
      <w:bookmarkEnd w:id="5"/>
    </w:p>
    <w:p w14:paraId="337FE0B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4BDD1D8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FEC8E0D" wp14:editId="711254B3">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74837E8" wp14:editId="5895BA3D">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2.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p>
    <w:p w14:paraId="7CC2BBB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R2 on logged vectors for only “small” feasible sets. This lets us zoom in on the distributions where they start to broaden out.</w:t>
      </w:r>
    </w:p>
    <w:p w14:paraId="55A7C54D"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31692C7" wp14:editId="14097CE4">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B08EAD5" wp14:editId="3025BA1B">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048FDCE"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6" w:name="coefficient-of-determination"/>
      <w:r w:rsidRPr="009C77E0">
        <w:rPr>
          <w:rFonts w:ascii="Calibri Light" w:hAnsi="Calibri Light" w:cs="Calibri Light"/>
          <w:color w:val="auto"/>
          <w:sz w:val="22"/>
          <w:szCs w:val="22"/>
        </w:rPr>
        <w:t>Coefficient of determination</w:t>
      </w:r>
      <w:bookmarkEnd w:id="6"/>
    </w:p>
    <w:p w14:paraId="2B3D91B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Higher CD values indicate more similarity. It is bounded 0 to 1.</w:t>
      </w:r>
    </w:p>
    <w:p w14:paraId="740BF71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26177A6" wp14:editId="6037ECFA">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5C8B0C35" wp14:editId="5D6041D7">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2.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p>
    <w:p w14:paraId="0A121C0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cd for only “small” feasible sets.</w:t>
      </w:r>
    </w:p>
    <w:p w14:paraId="73C8D0C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CAC738" wp14:editId="0E49A1B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9CC9775" wp14:editId="78DB3805">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79FEB656"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7" w:name="Xee61e2786c69f9903b157ec2fa51ed510a020a4"/>
      <w:r w:rsidRPr="009C77E0">
        <w:rPr>
          <w:rFonts w:ascii="Calibri Light" w:hAnsi="Calibri Light" w:cs="Calibri Light"/>
          <w:color w:val="auto"/>
          <w:sz w:val="22"/>
          <w:szCs w:val="22"/>
        </w:rPr>
        <w:t>Proportion of individuals allocated to different species</w:t>
      </w:r>
      <w:bookmarkEnd w:id="7"/>
    </w:p>
    <w:p w14:paraId="3BA6033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“prop off” values indicate more similarity. It is bounded 0 to 1.</w:t>
      </w:r>
    </w:p>
    <w:p w14:paraId="6AD7410E"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D0113D3" wp14:editId="7D6250C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FC2CFCB" wp14:editId="2FAA7A62">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5EE7A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prop_off for only “small” feasible sets.</w:t>
      </w:r>
    </w:p>
    <w:p w14:paraId="77F041B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A25E110" wp14:editId="5A37E606">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D804B66" wp14:editId="2DD94C04">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57169B9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8" w:name="k-l-divergence"/>
      <w:r w:rsidRPr="009C77E0">
        <w:rPr>
          <w:rFonts w:ascii="Calibri Light" w:hAnsi="Calibri Light" w:cs="Calibri Light"/>
          <w:color w:val="auto"/>
          <w:sz w:val="22"/>
          <w:szCs w:val="22"/>
        </w:rPr>
        <w:t>K-L divergence</w:t>
      </w:r>
      <w:bookmarkEnd w:id="8"/>
    </w:p>
    <w:p w14:paraId="195AF4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divergence values indicate more similarity. It is bounded 0 to 1.</w:t>
      </w:r>
    </w:p>
    <w:p w14:paraId="5166732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44605A1" wp14:editId="0D52B29B">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89A91DE" wp14:editId="1CDAB5E9">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625BF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K-L divergence for only “small” feasible sets.</w:t>
      </w:r>
    </w:p>
    <w:p w14:paraId="7C763B6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817155" wp14:editId="39E57A82">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399A2A5" wp14:editId="2801707B">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5ED1F99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9" w:name="in-summary"/>
      <w:r w:rsidRPr="009C77E0">
        <w:rPr>
          <w:rFonts w:ascii="Calibri Light" w:hAnsi="Calibri Light" w:cs="Calibri Light"/>
          <w:color w:val="auto"/>
          <w:sz w:val="22"/>
          <w:szCs w:val="22"/>
        </w:rPr>
        <w:t>In summary</w:t>
      </w:r>
      <w:bookmarkEnd w:id="9"/>
    </w:p>
    <w:p w14:paraId="38611CF4"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Large feasible sets are consistently more self-similar than small ones, regardless of the metric of self-similarity used.</w:t>
      </w:r>
    </w:p>
    <w:p w14:paraId="00A0833A"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0" w:name="references"/>
      <w:r w:rsidRPr="009C77E0">
        <w:rPr>
          <w:rFonts w:ascii="Calibri Light" w:hAnsi="Calibri Light" w:cs="Calibri Light"/>
          <w:color w:val="auto"/>
          <w:sz w:val="22"/>
          <w:szCs w:val="22"/>
        </w:rPr>
        <w:t>References</w:t>
      </w:r>
      <w:bookmarkEnd w:id="10"/>
    </w:p>
    <w:p w14:paraId="28D6FF9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Jaynes, E.T. (1957). Information Theory and Statistical Mechanics. </w:t>
      </w:r>
      <w:r w:rsidRPr="009C77E0">
        <w:rPr>
          <w:rFonts w:ascii="Calibri Light" w:hAnsi="Calibri Light" w:cs="Calibri Light"/>
          <w:i/>
          <w:sz w:val="22"/>
          <w:szCs w:val="22"/>
        </w:rPr>
        <w:t>Phys. Rev.</w:t>
      </w:r>
      <w:r w:rsidRPr="009C77E0">
        <w:rPr>
          <w:rFonts w:ascii="Calibri Light" w:hAnsi="Calibri Light" w:cs="Calibri Light"/>
          <w:sz w:val="22"/>
          <w:szCs w:val="22"/>
        </w:rPr>
        <w:t>, 106, 620–630.</w:t>
      </w:r>
    </w:p>
    <w:sectPr w:rsidR="00887B5B" w:rsidRPr="009C7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3DD17" w14:textId="77777777" w:rsidR="00057F28" w:rsidRDefault="00057F28">
      <w:pPr>
        <w:spacing w:after="0"/>
      </w:pPr>
      <w:r>
        <w:separator/>
      </w:r>
    </w:p>
  </w:endnote>
  <w:endnote w:type="continuationSeparator" w:id="0">
    <w:p w14:paraId="6474A7AF" w14:textId="77777777" w:rsidR="00057F28" w:rsidRDefault="00057F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6AAE9" w14:textId="77777777" w:rsidR="00057F28" w:rsidRDefault="00057F28">
      <w:r>
        <w:separator/>
      </w:r>
    </w:p>
  </w:footnote>
  <w:footnote w:type="continuationSeparator" w:id="0">
    <w:p w14:paraId="13E2D6A5" w14:textId="77777777" w:rsidR="00057F28" w:rsidRDefault="00057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529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D67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F28"/>
    <w:rsid w:val="004E29B3"/>
    <w:rsid w:val="00590D07"/>
    <w:rsid w:val="00616C43"/>
    <w:rsid w:val="0069390A"/>
    <w:rsid w:val="00784D58"/>
    <w:rsid w:val="007B0660"/>
    <w:rsid w:val="00870284"/>
    <w:rsid w:val="00887B5B"/>
    <w:rsid w:val="008D6863"/>
    <w:rsid w:val="009C77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8AD"/>
  <w15:docId w15:val="{50060260-E182-47B7-B9BE-42BF761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cp:lastModifiedBy>Diaz,Renata M</cp:lastModifiedBy>
  <cp:revision>4</cp:revision>
  <dcterms:created xsi:type="dcterms:W3CDTF">2020-12-18T20:47:00Z</dcterms:created>
  <dcterms:modified xsi:type="dcterms:W3CDTF">2021-01-14T20:18:00Z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