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89DF" w14:textId="48A597BF" w:rsidR="005D3156" w:rsidRPr="00EF5D89" w:rsidRDefault="00EF5D89" w:rsidP="00C8170B">
      <w:pPr>
        <w:pStyle w:val="SourceCode"/>
        <w:spacing w:line="480" w:lineRule="auto"/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Table S6</w:t>
      </w:r>
    </w:p>
    <w:tbl>
      <w:tblPr>
        <w:tblStyle w:val="Table"/>
        <w:tblW w:w="43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39"/>
        <w:gridCol w:w="3443"/>
        <w:gridCol w:w="3307"/>
      </w:tblGrid>
      <w:tr w:rsidR="00593F7F" w:rsidRPr="00EF5D89" w14:paraId="42CD105F" w14:textId="77777777" w:rsidTr="00593F7F">
        <w:tc>
          <w:tcPr>
            <w:tcW w:w="976" w:type="pct"/>
          </w:tcPr>
          <w:p w14:paraId="1FA3FC84" w14:textId="77777777" w:rsidR="00593F7F" w:rsidRPr="00EF5D89" w:rsidRDefault="00593F7F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Dataset</w:t>
            </w:r>
          </w:p>
        </w:tc>
        <w:tc>
          <w:tcPr>
            <w:tcW w:w="2052" w:type="pct"/>
          </w:tcPr>
          <w:p w14:paraId="711B18E2" w14:textId="77777777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Proportion of communities with skewness above 95th percentile</w:t>
            </w:r>
          </w:p>
        </w:tc>
        <w:tc>
          <w:tcPr>
            <w:tcW w:w="1971" w:type="pct"/>
          </w:tcPr>
          <w:p w14:paraId="37969A80" w14:textId="77777777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Proportion of communities with evenness below 5th percentile</w:t>
            </w:r>
          </w:p>
        </w:tc>
      </w:tr>
      <w:tr w:rsidR="00593F7F" w:rsidRPr="00EF5D89" w14:paraId="0295EC2B" w14:textId="77777777" w:rsidTr="00593F7F">
        <w:tc>
          <w:tcPr>
            <w:tcW w:w="0" w:type="auto"/>
          </w:tcPr>
          <w:p w14:paraId="4FF9D351" w14:textId="77777777" w:rsidR="00593F7F" w:rsidRPr="00EF5D89" w:rsidRDefault="00593F7F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FIA</w:t>
            </w:r>
          </w:p>
        </w:tc>
        <w:tc>
          <w:tcPr>
            <w:tcW w:w="2052" w:type="pct"/>
          </w:tcPr>
          <w:p w14:paraId="3E2CBD37" w14:textId="1FFFC374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0.08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371)</w:t>
            </w:r>
          </w:p>
        </w:tc>
        <w:tc>
          <w:tcPr>
            <w:tcW w:w="1971" w:type="pct"/>
          </w:tcPr>
          <w:p w14:paraId="5563CB4F" w14:textId="01EAE002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0.1</w:t>
            </w:r>
            <w:r>
              <w:rPr>
                <w:rFonts w:ascii="Calibri Light" w:hAnsi="Calibri Light" w:cs="Calibri Light"/>
                <w:sz w:val="22"/>
                <w:szCs w:val="22"/>
              </w:rPr>
              <w:t>9 (N = 365)</w:t>
            </w:r>
          </w:p>
        </w:tc>
      </w:tr>
      <w:tr w:rsidR="00593F7F" w:rsidRPr="00EF5D89" w14:paraId="4EA2EC2D" w14:textId="77777777" w:rsidTr="00593F7F">
        <w:tc>
          <w:tcPr>
            <w:tcW w:w="0" w:type="auto"/>
          </w:tcPr>
          <w:p w14:paraId="4C91DFAC" w14:textId="77777777" w:rsidR="00593F7F" w:rsidRPr="00EF5D89" w:rsidRDefault="00593F7F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Other datasets</w:t>
            </w:r>
          </w:p>
        </w:tc>
        <w:tc>
          <w:tcPr>
            <w:tcW w:w="2052" w:type="pct"/>
          </w:tcPr>
          <w:p w14:paraId="133EB037" w14:textId="13CDD48A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0.08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371)</w:t>
            </w:r>
          </w:p>
        </w:tc>
        <w:tc>
          <w:tcPr>
            <w:tcW w:w="1971" w:type="pct"/>
          </w:tcPr>
          <w:p w14:paraId="66FAF995" w14:textId="33CAE991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0.2</w:t>
            </w:r>
            <w:r>
              <w:rPr>
                <w:rFonts w:ascii="Calibri Light" w:hAnsi="Calibri Light" w:cs="Calibri Light"/>
                <w:sz w:val="22"/>
                <w:szCs w:val="22"/>
              </w:rPr>
              <w:t>1 (N = 365)</w:t>
            </w:r>
          </w:p>
        </w:tc>
      </w:tr>
    </w:tbl>
    <w:p w14:paraId="49857455" w14:textId="77777777" w:rsidR="00C8170B" w:rsidRPr="00EF5D89" w:rsidRDefault="00C8170B" w:rsidP="00C8170B">
      <w:pPr>
        <w:pStyle w:val="BodyText"/>
        <w:spacing w:line="480" w:lineRule="auto"/>
        <w:rPr>
          <w:rFonts w:ascii="Calibri Light" w:hAnsi="Calibri Light" w:cs="Calibri Light"/>
          <w:b/>
          <w:sz w:val="22"/>
          <w:szCs w:val="22"/>
        </w:rPr>
      </w:pPr>
    </w:p>
    <w:p w14:paraId="5B4B5708" w14:textId="5FC2CD25" w:rsidR="005D3156" w:rsidRPr="00EF5D89" w:rsidRDefault="003C5E3F" w:rsidP="00C8170B">
      <w:pPr>
        <w:pStyle w:val="BodyText"/>
        <w:spacing w:line="480" w:lineRule="auto"/>
        <w:rPr>
          <w:rFonts w:ascii="Calibri Light" w:hAnsi="Calibri Light" w:cs="Calibri Light"/>
          <w:sz w:val="22"/>
          <w:szCs w:val="22"/>
        </w:rPr>
      </w:pPr>
      <w:r w:rsidRPr="00EF5D89">
        <w:rPr>
          <w:rFonts w:ascii="Calibri Light" w:hAnsi="Calibri Light" w:cs="Calibri Light"/>
          <w:b/>
          <w:sz w:val="22"/>
          <w:szCs w:val="22"/>
        </w:rPr>
        <w:t>Tab</w:t>
      </w:r>
      <w:r w:rsidR="00600AB2" w:rsidRPr="00EF5D89">
        <w:rPr>
          <w:rFonts w:ascii="Calibri Light" w:hAnsi="Calibri Light" w:cs="Calibri Light"/>
          <w:b/>
          <w:sz w:val="22"/>
          <w:szCs w:val="22"/>
        </w:rPr>
        <w:t>le S6</w:t>
      </w:r>
      <w:r w:rsidR="00CD36FA" w:rsidRPr="00EF5D89">
        <w:rPr>
          <w:rFonts w:ascii="Calibri Light" w:hAnsi="Calibri Light" w:cs="Calibri Light"/>
          <w:b/>
          <w:sz w:val="22"/>
          <w:szCs w:val="22"/>
        </w:rPr>
        <w:t>.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 Proportion of sites with highly skewed or uneven SADs for a subset of FIA communities and </w:t>
      </w:r>
      <w:proofErr w:type="gramStart"/>
      <w:r w:rsidR="00CD36FA" w:rsidRPr="00EF5D89">
        <w:rPr>
          <w:rFonts w:ascii="Calibri Light" w:hAnsi="Calibri Light" w:cs="Calibri Light"/>
          <w:sz w:val="22"/>
          <w:szCs w:val="22"/>
        </w:rPr>
        <w:t>comparably-sized</w:t>
      </w:r>
      <w:proofErr w:type="gramEnd"/>
      <w:r w:rsidR="00CD36FA" w:rsidRPr="00EF5D89">
        <w:rPr>
          <w:rFonts w:ascii="Calibri Light" w:hAnsi="Calibri Light" w:cs="Calibri Light"/>
          <w:sz w:val="22"/>
          <w:szCs w:val="22"/>
        </w:rPr>
        <w:t xml:space="preserve"> communities from other datasets. </w:t>
      </w:r>
      <w:r w:rsidR="001E183F">
        <w:rPr>
          <w:rFonts w:ascii="Calibri Light" w:hAnsi="Calibri Light" w:cs="Calibri Light"/>
          <w:sz w:val="22"/>
          <w:szCs w:val="22"/>
        </w:rPr>
        <w:t>N</w:t>
      </w:r>
      <w:r w:rsidR="00027384">
        <w:rPr>
          <w:rFonts w:ascii="Calibri Light" w:hAnsi="Calibri Light" w:cs="Calibri Light"/>
          <w:sz w:val="22"/>
          <w:szCs w:val="22"/>
        </w:rPr>
        <w:t>, in parentheses,</w:t>
      </w:r>
      <w:r w:rsidR="001E183F">
        <w:rPr>
          <w:rFonts w:ascii="Calibri Light" w:hAnsi="Calibri Light" w:cs="Calibri Light"/>
          <w:sz w:val="22"/>
          <w:szCs w:val="22"/>
        </w:rPr>
        <w:t xml:space="preserve"> refers to the number of communities included for each metric and </w:t>
      </w:r>
      <w:r w:rsidR="00BF0CE1">
        <w:rPr>
          <w:rFonts w:ascii="Calibri Light" w:hAnsi="Calibri Light" w:cs="Calibri Light"/>
          <w:sz w:val="22"/>
          <w:szCs w:val="22"/>
        </w:rPr>
        <w:t>data source</w:t>
      </w:r>
      <w:r w:rsidR="001E183F">
        <w:rPr>
          <w:rFonts w:ascii="Calibri Light" w:hAnsi="Calibri Light" w:cs="Calibri Light"/>
          <w:sz w:val="22"/>
          <w:szCs w:val="22"/>
        </w:rPr>
        <w:t xml:space="preserve">. 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We </w:t>
      </w:r>
      <w:r w:rsidR="0080361E" w:rsidRPr="00EF5D89">
        <w:rPr>
          <w:rFonts w:ascii="Calibri Light" w:hAnsi="Calibri Light" w:cs="Calibri Light"/>
          <w:sz w:val="22"/>
          <w:szCs w:val="22"/>
        </w:rPr>
        <w:t xml:space="preserve">compared the results for 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pairs of communities for which a community from FIA had a counterpart from another dataset with exactly matching </w:t>
      </w:r>
      <w:r w:rsidR="00CD36FA" w:rsidRPr="0003536E">
        <w:rPr>
          <w:rFonts w:ascii="Calibri Light" w:hAnsi="Calibri Light" w:cs="Calibri Light"/>
          <w:i/>
          <w:iCs/>
          <w:sz w:val="22"/>
          <w:szCs w:val="22"/>
        </w:rPr>
        <w:t xml:space="preserve">S 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and </w:t>
      </w:r>
      <w:r w:rsidR="0003536E">
        <w:rPr>
          <w:rFonts w:ascii="Calibri Light" w:hAnsi="Calibri Light" w:cs="Calibri Light"/>
          <w:i/>
          <w:iCs/>
          <w:sz w:val="22"/>
          <w:szCs w:val="22"/>
        </w:rPr>
        <w:t>N</w:t>
      </w:r>
      <w:r w:rsidR="00CD36FA" w:rsidRPr="00EF5D89">
        <w:rPr>
          <w:rFonts w:ascii="Calibri Light" w:hAnsi="Calibri Light" w:cs="Calibri Light"/>
          <w:sz w:val="22"/>
          <w:szCs w:val="22"/>
        </w:rPr>
        <w:t>. For these communities, the proportion of communities whose observed SADs are highly skewed or uneven relative to their sampled feasible sets does not differ between FIA and other datasets</w:t>
      </w:r>
      <w:r w:rsidR="00EB7780">
        <w:rPr>
          <w:rFonts w:ascii="Calibri Light" w:hAnsi="Calibri Light" w:cs="Calibri Light"/>
          <w:sz w:val="22"/>
          <w:szCs w:val="22"/>
        </w:rPr>
        <w:t xml:space="preserve"> (Kolmogorov-Smirnov tests f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or evenness, </w:t>
      </w:r>
      <w:r w:rsidR="00EB7780" w:rsidRPr="005A274E">
        <w:rPr>
          <w:rFonts w:ascii="Calibri Light" w:hAnsi="Calibri Light" w:cs="Calibri Light"/>
          <w:i/>
          <w:iCs/>
          <w:sz w:val="22"/>
          <w:szCs w:val="22"/>
        </w:rPr>
        <w:t>D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 = 0.04 and </w:t>
      </w:r>
      <w:r w:rsidR="00EB7780" w:rsidRPr="005A274E">
        <w:rPr>
          <w:rFonts w:ascii="Calibri Light" w:hAnsi="Calibri Light" w:cs="Calibri Light"/>
          <w:i/>
          <w:iCs/>
          <w:sz w:val="22"/>
          <w:szCs w:val="22"/>
        </w:rPr>
        <w:t>p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 = 0.87; for skewness, </w:t>
      </w:r>
      <w:r w:rsidR="00EB7780" w:rsidRPr="00C319D1">
        <w:rPr>
          <w:rFonts w:ascii="Calibri Light" w:hAnsi="Calibri Light" w:cs="Calibri Light"/>
          <w:i/>
          <w:iCs/>
          <w:sz w:val="22"/>
          <w:szCs w:val="22"/>
        </w:rPr>
        <w:t>D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 </w:t>
      </w:r>
      <w:proofErr w:type="gramStart"/>
      <w:r w:rsidR="00EB7780" w:rsidRPr="00EB7780">
        <w:rPr>
          <w:rFonts w:ascii="Calibri Light" w:hAnsi="Calibri Light" w:cs="Calibri Light"/>
          <w:sz w:val="22"/>
          <w:szCs w:val="22"/>
        </w:rPr>
        <w:t>=  0.07</w:t>
      </w:r>
      <w:proofErr w:type="gramEnd"/>
      <w:r w:rsidR="00EB7780" w:rsidRPr="00EB7780">
        <w:rPr>
          <w:rFonts w:ascii="Calibri Light" w:hAnsi="Calibri Light" w:cs="Calibri Light"/>
          <w:sz w:val="22"/>
          <w:szCs w:val="22"/>
        </w:rPr>
        <w:t xml:space="preserve"> and </w:t>
      </w:r>
      <w:r w:rsidR="00EB7780" w:rsidRPr="00C319D1">
        <w:rPr>
          <w:rFonts w:ascii="Calibri Light" w:hAnsi="Calibri Light" w:cs="Calibri Light"/>
          <w:i/>
          <w:iCs/>
          <w:sz w:val="22"/>
          <w:szCs w:val="22"/>
        </w:rPr>
        <w:t>p</w:t>
      </w:r>
      <w:r w:rsidR="00EB7780" w:rsidRPr="00EB7780">
        <w:rPr>
          <w:rFonts w:ascii="Calibri Light" w:hAnsi="Calibri Light" w:cs="Calibri Light"/>
          <w:sz w:val="22"/>
          <w:szCs w:val="22"/>
        </w:rPr>
        <w:t xml:space="preserve"> = 0.37).</w:t>
      </w:r>
    </w:p>
    <w:sectPr w:rsidR="005D3156" w:rsidRPr="00EF5D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E1CF2" w14:textId="77777777" w:rsidR="004D5AEE" w:rsidRDefault="004D5AEE">
      <w:pPr>
        <w:spacing w:after="0"/>
      </w:pPr>
      <w:r>
        <w:separator/>
      </w:r>
    </w:p>
  </w:endnote>
  <w:endnote w:type="continuationSeparator" w:id="0">
    <w:p w14:paraId="5D8E24AB" w14:textId="77777777" w:rsidR="004D5AEE" w:rsidRDefault="004D5A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86959" w14:textId="77777777" w:rsidR="004D5AEE" w:rsidRDefault="004D5AEE">
      <w:r>
        <w:separator/>
      </w:r>
    </w:p>
  </w:footnote>
  <w:footnote w:type="continuationSeparator" w:id="0">
    <w:p w14:paraId="39AD9017" w14:textId="77777777" w:rsidR="004D5AEE" w:rsidRDefault="004D5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A900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384"/>
    <w:rsid w:val="0003536E"/>
    <w:rsid w:val="001E183F"/>
    <w:rsid w:val="003C5E3F"/>
    <w:rsid w:val="00424155"/>
    <w:rsid w:val="004D5AEE"/>
    <w:rsid w:val="004E29B3"/>
    <w:rsid w:val="00590D07"/>
    <w:rsid w:val="00593F7F"/>
    <w:rsid w:val="005A274E"/>
    <w:rsid w:val="005D3156"/>
    <w:rsid w:val="00600AB2"/>
    <w:rsid w:val="00784D58"/>
    <w:rsid w:val="0080361E"/>
    <w:rsid w:val="008D6863"/>
    <w:rsid w:val="00B14EF5"/>
    <w:rsid w:val="00B71D8B"/>
    <w:rsid w:val="00B86B75"/>
    <w:rsid w:val="00BC48D5"/>
    <w:rsid w:val="00BF0CE1"/>
    <w:rsid w:val="00C319D1"/>
    <w:rsid w:val="00C36279"/>
    <w:rsid w:val="00C8170B"/>
    <w:rsid w:val="00CD36FA"/>
    <w:rsid w:val="00E315A3"/>
    <w:rsid w:val="00EB7780"/>
    <w:rsid w:val="00EE02B2"/>
    <w:rsid w:val="00EF5D89"/>
    <w:rsid w:val="00F521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0625"/>
  <w15:docId w15:val="{C3ACB1FE-BBB5-491F-9C0F-93975CAB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Diaz,Renata M</cp:lastModifiedBy>
  <cp:revision>17</cp:revision>
  <dcterms:created xsi:type="dcterms:W3CDTF">2020-12-18T14:06:00Z</dcterms:created>
  <dcterms:modified xsi:type="dcterms:W3CDTF">2021-01-18T15:55:00Z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