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7.png" ContentType="image/png"/>
  <Override PartName="/word/media/rId60.png" ContentType="image/png"/>
  <Override PartName="/word/media/rId61.png" ContentType="image/png"/>
  <Override PartName="/word/media/rId62.png" ContentType="image/png"/>
  <Override PartName="/word/media/rId63.png" ContentType="image/png"/>
  <Override PartName="/word/media/rId40.png" ContentType="image/png"/>
  <Override PartName="/word/media/rId41.png" ContentType="image/png"/>
  <Override PartName="/word/media/rId24.png" ContentType="image/png"/>
  <Override PartName="/word/media/rId25.png" ContentType="image/png"/>
  <Override PartName="/word/media/rId55.png" ContentType="image/png"/>
  <Override PartName="/word/media/rId56.png" ContentType="image/png"/>
  <Override PartName="/word/media/rId57.png" ContentType="image/png"/>
  <Override PartName="/word/media/rId58.png" ContentType="image/png"/>
  <Override PartName="/word/media/rId47.png" ContentType="image/png"/>
  <Override PartName="/word/media/rId48.png" ContentType="image/png"/>
  <Override PartName="/word/media/rId45.png" ContentType="image/png"/>
  <Override PartName="/word/media/rId46.png" ContentType="image/png"/>
  <Override PartName="/word/media/rId42.png" ContentType="image/png"/>
  <Override PartName="/word/media/rId4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50.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Self-similarity</w:t>
      </w:r>
      <w:r>
        <w:t xml:space="preserve"> </w:t>
      </w:r>
      <w:r>
        <w:t xml:space="preserve">of</w:t>
      </w:r>
      <w:r>
        <w:t xml:space="preserve"> </w:t>
      </w:r>
      <w:r>
        <w:t xml:space="preserve">the</w:t>
      </w:r>
      <w:r>
        <w:t xml:space="preserve"> </w:t>
      </w:r>
      <w:r>
        <w:t xml:space="preserve">elements</w:t>
      </w:r>
      <w:r>
        <w:t xml:space="preserve"> </w:t>
      </w:r>
      <w:r>
        <w:t xml:space="preserve">of</w:t>
      </w:r>
      <w:r>
        <w:t xml:space="preserve"> </w:t>
      </w:r>
      <w:r>
        <w:t xml:space="preserve">the</w:t>
      </w:r>
      <w:r>
        <w:t xml:space="preserve"> </w:t>
      </w:r>
      <w:r>
        <w:t xml:space="preserve">feasible</w:t>
      </w:r>
      <w:r>
        <w:t xml:space="preserve"> </w:t>
      </w:r>
      <w:r>
        <w:t xml:space="preserve">set</w:t>
      </w:r>
    </w:p>
    <w:p>
      <w:pPr>
        <w:pStyle w:val="Author"/>
      </w:pPr>
      <w:r>
        <w:t xml:space="preserve">Renata</w:t>
      </w:r>
      <w:r>
        <w:t xml:space="preserve"> </w:t>
      </w:r>
      <w:r>
        <w:t xml:space="preserve">Diaz</w:t>
      </w:r>
    </w:p>
    <w:p>
      <w:pPr>
        <w:pStyle w:val="Date"/>
      </w:pPr>
      <w:r>
        <w:t xml:space="preserve">2020-11-30</w:t>
      </w:r>
    </w:p>
    <w:p>
      <w:pPr>
        <w:pStyle w:val="FirstParagraph"/>
      </w:pPr>
      <w:r>
        <w:t xml:space="preserve">We are interested in how the self-similarity of the elements of the feasible set varies over gradients in S and N. The intuition from</w:t>
      </w:r>
      <w:r>
        <w:t xml:space="preserve"> </w:t>
      </w:r>
      <w:r>
        <w:t xml:space="preserve">“</w:t>
      </w:r>
      <w:r>
        <w:t xml:space="preserve">common-sense</w:t>
      </w:r>
      <w:r>
        <w:t xml:space="preserve">”</w:t>
      </w:r>
      <w:r>
        <w:t xml:space="preserve"> </w:t>
      </w:r>
      <w:r>
        <w:t xml:space="preserve">probability theory, statistical mechanics, law-of-large-numbers intuition is that, as the number of possible arrangements becomes large, the different possible arrangements should become more self-similar. However, we don’t know that this is the case for SADs, nor do we know the values for S and N where things really start to converge.</w:t>
      </w:r>
    </w:p>
    <w:p>
      <w:pPr>
        <w:pStyle w:val="BodyText"/>
      </w:pPr>
      <w:r>
        <w:t xml:space="preserve">In the manuscript, I use the ratio of the 95% interval of summary statistic values, to the full range of summary statistic values. This can be calculated quickly and without introducing new statistics, etc to the main manuscript. It also directly reflects the distributions to which we are comparing our observations. However, it may not tell the full story: if the summary statistic values are idiosyncratic (skewness in particular can behave counterintuitively), it reflects those idiosyncracies.</w:t>
      </w:r>
    </w:p>
    <w:p>
      <w:pPr>
        <w:pStyle w:val="BodyText"/>
      </w:pPr>
      <w:r>
        <w:t xml:space="preserve">With more computing, we can explore how similar the elements of the feasible set are to each other by comparing them to each other directly. Then we can ask whether, as the feasible set gets large, the elements become more similar and converge on a dominant form.</w:t>
      </w:r>
    </w:p>
    <w:p>
      <w:pPr>
        <w:pStyle w:val="BodyText"/>
      </w:pPr>
      <w:r>
        <w:t xml:space="preserve">I initially did this analysis in</w:t>
      </w:r>
      <w:r>
        <w:t xml:space="preserve"> </w:t>
      </w:r>
      <w:hyperlink r:id="rId20">
        <w:r>
          <w:rPr>
            <w:rStyle w:val="Hyperlink"/>
          </w:rPr>
          <w:t xml:space="preserve">https://github.com/diazrenata/sadspace</w:t>
        </w:r>
      </w:hyperlink>
      <w:r>
        <w:t xml:space="preserve"> </w:t>
      </w:r>
      <w:r>
        <w:t xml:space="preserve">and am porting the functions and analysis over to this repo for the supplement.</w:t>
      </w:r>
    </w:p>
    <w:p>
      <w:pPr>
        <w:pStyle w:val="Heading2"/>
      </w:pPr>
      <w:bookmarkStart w:id="21" w:name="directly-establishing-self-similarity"/>
      <w:r>
        <w:t xml:space="preserve">Directly establishing self-similarity</w:t>
      </w:r>
      <w:bookmarkEnd w:id="21"/>
    </w:p>
    <w:p>
      <w:pPr>
        <w:pStyle w:val="Heading3"/>
      </w:pPr>
      <w:bookmarkStart w:id="22" w:name="overview"/>
      <w:r>
        <w:t xml:space="preserve">Overview</w:t>
      </w:r>
      <w:bookmarkEnd w:id="22"/>
    </w:p>
    <w:p>
      <w:pPr>
        <w:pStyle w:val="FirstParagraph"/>
      </w:pPr>
      <w:r>
        <w:t xml:space="preserve">We can describe how self-similar the elements of a feasible set are via numerous pairwise comparisons. Given a body of samples drawn from a feasible set, we draw two samples and compute some metric that describes how similar these two samples are to each other. We do this many times, making many pairwise comparisons, to generate a distribution of the self-similarity metric for that feasible set. We then compare how self-similar different feasible sets are by comparing the distributions of self-similarity metrics for the different feasible sets.</w:t>
      </w:r>
    </w:p>
    <w:p>
      <w:pPr>
        <w:pStyle w:val="Heading3"/>
      </w:pPr>
      <w:bookmarkStart w:id="23" w:name="walkthrough"/>
      <w:r>
        <w:t xml:space="preserve">Walkthrough</w:t>
      </w:r>
      <w:bookmarkEnd w:id="23"/>
    </w:p>
    <w:p>
      <w:pPr>
        <w:pStyle w:val="FirstParagraph"/>
      </w:pPr>
      <w:r>
        <w:t xml:space="preserve">Here we have a bank of 3870 samples from the feasible set for SADs with 7 species and 71 individuals. We draw two of these samples to compare.</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illustrate%20self%20similarity-1.png" id="0" name="Picture"/>
                    <pic:cNvPicPr>
                      <a:picLocks noChangeArrowheads="1" noChangeAspect="1"/>
                    </pic:cNvPicPr>
                  </pic:nvPicPr>
                  <pic:blipFill>
                    <a:blip r:embed="rId24"/>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illustrate%20self%20similarity-2.png" id="0" name="Picture"/>
                    <pic:cNvPicPr>
                      <a:picLocks noChangeArrowheads="1" noChangeAspect="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I have implemented 5 metrics of similarity for comparing samples:</w:t>
      </w:r>
    </w:p>
    <w:p>
      <w:pPr>
        <w:pStyle w:val="Compact"/>
        <w:numPr>
          <w:numId w:val="1001"/>
          <w:ilvl w:val="0"/>
        </w:numPr>
      </w:pPr>
      <w:r>
        <w:t xml:space="preserve">R2</w:t>
      </w:r>
    </w:p>
    <w:p>
      <w:pPr>
        <w:pStyle w:val="Compact"/>
        <w:numPr>
          <w:numId w:val="1001"/>
          <w:ilvl w:val="0"/>
        </w:numPr>
      </w:pPr>
      <w:r>
        <w:t xml:space="preserve">R2 on log-transformed abundances</w:t>
      </w:r>
    </w:p>
    <w:p>
      <w:pPr>
        <w:pStyle w:val="Compact"/>
        <w:numPr>
          <w:numId w:val="1001"/>
          <w:ilvl w:val="0"/>
        </w:numPr>
      </w:pPr>
      <w:r>
        <w:t xml:space="preserve">The coefficient of determination from a linear model fitting one sample to the other</w:t>
      </w:r>
    </w:p>
    <w:p>
      <w:pPr>
        <w:pStyle w:val="Compact"/>
        <w:numPr>
          <w:numId w:val="1001"/>
          <w:ilvl w:val="0"/>
        </w:numPr>
      </w:pPr>
      <w:r>
        <w:t xml:space="preserve">The proportion of individuals allocated to species of differing abundances</w:t>
      </w:r>
    </w:p>
    <w:p>
      <w:pPr>
        <w:pStyle w:val="Compact"/>
        <w:numPr>
          <w:numId w:val="1001"/>
          <w:ilvl w:val="0"/>
        </w:numPr>
      </w:pPr>
      <w:r>
        <w:t xml:space="preserve">The estimated Kullbak-Lieber (sp) divergence between the two samples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sim1</w:t>
            </w:r>
          </w:p>
        </w:tc>
        <w:tc>
          <w:tcPr>
            <w:tcBorders>
              <w:bottom w:val="single"/>
            </w:tcBorders>
            <w:vAlign w:val="bottom"/>
          </w:tcPr>
          <w:p>
            <w:pPr>
              <w:pStyle w:val="Compact"/>
              <w:jc w:val="right"/>
            </w:pPr>
            <w:r>
              <w:t xml:space="preserve">sim2</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r2_log</w:t>
            </w:r>
          </w:p>
        </w:tc>
        <w:tc>
          <w:tcPr>
            <w:tcBorders>
              <w:bottom w:val="single"/>
            </w:tcBorders>
            <w:vAlign w:val="bottom"/>
          </w:tcPr>
          <w:p>
            <w:pPr>
              <w:pStyle w:val="Compact"/>
              <w:jc w:val="right"/>
            </w:pPr>
            <w:r>
              <w:t xml:space="preserve">cd</w:t>
            </w:r>
          </w:p>
        </w:tc>
        <w:tc>
          <w:tcPr>
            <w:tcBorders>
              <w:bottom w:val="single"/>
            </w:tcBorders>
            <w:vAlign w:val="bottom"/>
          </w:tcPr>
          <w:p>
            <w:pPr>
              <w:pStyle w:val="Compact"/>
              <w:jc w:val="right"/>
            </w:pPr>
            <w:r>
              <w:t xml:space="preserve">prop_off</w:t>
            </w:r>
          </w:p>
        </w:tc>
        <w:tc>
          <w:tcPr>
            <w:tcBorders>
              <w:bottom w:val="single"/>
            </w:tcBorders>
            <w:vAlign w:val="bottom"/>
          </w:tcPr>
          <w:p>
            <w:pPr>
              <w:pStyle w:val="Compact"/>
              <w:jc w:val="right"/>
            </w:pPr>
            <w:r>
              <w:t xml:space="preserve">div</w:t>
            </w:r>
          </w:p>
        </w:tc>
        <w:tc>
          <w:tcPr>
            <w:tcBorders>
              <w:bottom w:val="single"/>
            </w:tcBorders>
            <w:vAlign w:val="bottom"/>
          </w:tcPr>
          <w:p>
            <w:pPr>
              <w:pStyle w:val="Compact"/>
              <w:jc w:val="right"/>
            </w:pPr>
            <w:r>
              <w:t xml:space="preserve">s0</w:t>
            </w:r>
          </w:p>
        </w:tc>
        <w:tc>
          <w:tcPr>
            <w:tcBorders>
              <w:bottom w:val="single"/>
            </w:tcBorders>
            <w:vAlign w:val="bottom"/>
          </w:tcPr>
          <w:p>
            <w:pPr>
              <w:pStyle w:val="Compact"/>
              <w:jc w:val="right"/>
            </w:pPr>
            <w:r>
              <w:t xml:space="preserve">n0</w:t>
            </w:r>
          </w:p>
        </w:tc>
        <w:tc>
          <w:tcPr>
            <w:tcBorders>
              <w:bottom w:val="single"/>
            </w:tcBorders>
            <w:vAlign w:val="bottom"/>
          </w:tcPr>
          <w:p>
            <w:pPr>
              <w:pStyle w:val="Compact"/>
              <w:jc w:val="left"/>
            </w:pPr>
            <w:r>
              <w:t xml:space="preserve">nparts</w:t>
            </w:r>
          </w:p>
        </w:tc>
      </w:tr>
      <w:tr>
        <w:tc>
          <w:p>
            <w:pPr>
              <w:pStyle w:val="Compact"/>
              <w:jc w:val="right"/>
            </w:pPr>
            <w:r>
              <w:t xml:space="preserve">591</w:t>
            </w:r>
          </w:p>
        </w:tc>
        <w:tc>
          <w:p>
            <w:pPr>
              <w:pStyle w:val="Compact"/>
              <w:jc w:val="right"/>
            </w:pPr>
            <w:r>
              <w:t xml:space="preserve">3208</w:t>
            </w:r>
          </w:p>
        </w:tc>
        <w:tc>
          <w:p>
            <w:pPr>
              <w:pStyle w:val="Compact"/>
              <w:jc w:val="right"/>
            </w:pPr>
            <w:r>
              <w:t xml:space="preserve">0.7874279</w:t>
            </w:r>
          </w:p>
        </w:tc>
        <w:tc>
          <w:p>
            <w:pPr>
              <w:pStyle w:val="Compact"/>
              <w:jc w:val="right"/>
            </w:pPr>
            <w:r>
              <w:t xml:space="preserve">0.7336329</w:t>
            </w:r>
          </w:p>
        </w:tc>
        <w:tc>
          <w:p>
            <w:pPr>
              <w:pStyle w:val="Compact"/>
              <w:jc w:val="right"/>
            </w:pPr>
            <w:r>
              <w:t xml:space="preserve">0.8397613</w:t>
            </w:r>
          </w:p>
        </w:tc>
        <w:tc>
          <w:p>
            <w:pPr>
              <w:pStyle w:val="Compact"/>
              <w:jc w:val="right"/>
            </w:pPr>
            <w:r>
              <w:t xml:space="preserve">0.1971831</w:t>
            </w:r>
          </w:p>
        </w:tc>
        <w:tc>
          <w:p>
            <w:pPr>
              <w:pStyle w:val="Compact"/>
              <w:jc w:val="right"/>
            </w:pPr>
            <w:r>
              <w:t xml:space="preserve">0.1027579</w:t>
            </w:r>
          </w:p>
        </w:tc>
        <w:tc>
          <w:p>
            <w:pPr>
              <w:pStyle w:val="Compact"/>
              <w:jc w:val="right"/>
            </w:pPr>
            <w:r>
              <w:t xml:space="preserve">7</w:t>
            </w:r>
          </w:p>
        </w:tc>
        <w:tc>
          <w:p>
            <w:pPr>
              <w:pStyle w:val="Compact"/>
              <w:jc w:val="right"/>
            </w:pPr>
            <w:r>
              <w:t xml:space="preserve">71</w:t>
            </w:r>
          </w:p>
        </w:tc>
        <w:tc>
          <w:p>
            <w:pPr>
              <w:pStyle w:val="Compact"/>
              <w:jc w:val="left"/>
            </w:pPr>
            <w:r>
              <w:t xml:space="preserve">60289</w:t>
            </w:r>
          </w:p>
        </w:tc>
      </w:tr>
    </w:tbl>
    <w:p>
      <w:pPr>
        <w:pStyle w:val="BodyText"/>
      </w:pPr>
      <w:r>
        <w:t xml:space="preserve">We repeat this comparison process numerous times to get numerous values for the self-similarity metrics.</w:t>
      </w:r>
    </w:p>
    <w:p>
      <w:pPr>
        <w:pStyle w:val="BodyText"/>
      </w:pPr>
      <w:r>
        <w:drawing>
          <wp:inline>
            <wp:extent cx="1848050" cy="1848050"/>
            <wp:effectExtent b="0" l="0" r="0" t="0"/>
            <wp:docPr descr="" title="" id="1" name="Picture"/>
            <a:graphic>
              <a:graphicData uri="http://schemas.openxmlformats.org/drawingml/2006/picture">
                <pic:pic>
                  <pic:nvPicPr>
                    <pic:cNvPr descr="self_similarity_files/figure-docx/rep%20sampler-1.png" id="0" name="Picture"/>
                    <pic:cNvPicPr>
                      <a:picLocks noChangeArrowheads="1" noChangeAspect="1"/>
                    </pic:cNvPicPr>
                  </pic:nvPicPr>
                  <pic:blipFill>
                    <a:blip r:embed="rId26"/>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self_similarity_files/figure-docx/rep%20sampler-2.png" id="0" name="Picture"/>
                    <pic:cNvPicPr>
                      <a:picLocks noChangeArrowheads="1" noChangeAspect="1"/>
                    </pic:cNvPicPr>
                  </pic:nvPicPr>
                  <pic:blipFill>
                    <a:blip r:embed="rId27"/>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self_similarity_files/figure-docx/rep%20sampler-3.png" id="0" name="Picture"/>
                    <pic:cNvPicPr>
                      <a:picLocks noChangeArrowheads="1" noChangeAspect="1"/>
                    </pic:cNvPicPr>
                  </pic:nvPicPr>
                  <pic:blipFill>
                    <a:blip r:embed="rId28"/>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self_similarity_files/figure-docx/rep%20sampler-4.png" id="0" name="Picture"/>
                    <pic:cNvPicPr>
                      <a:picLocks noChangeArrowheads="1" noChangeAspect="1"/>
                    </pic:cNvPicPr>
                  </pic:nvPicPr>
                  <pic:blipFill>
                    <a:blip r:embed="rId29"/>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self_similarity_files/figure-docx/rep%20sampler-5.png" id="0" name="Picture"/>
                    <pic:cNvPicPr>
                      <a:picLocks noChangeArrowheads="1" noChangeAspect="1"/>
                    </pic:cNvPicPr>
                  </pic:nvPicPr>
                  <pic:blipFill>
                    <a:blip r:embed="rId30"/>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t xml:space="preserve">We repeat this process for feasible sets with varying S and N, and compare the distribution of the self-similarity metrics across the variation in S and N.</w:t>
      </w:r>
    </w:p>
    <w:p>
      <w:pPr>
        <w:pStyle w:val="BodyText"/>
      </w:pPr>
      <w:r>
        <w:drawing>
          <wp:inline>
            <wp:extent cx="1848050" cy="1848050"/>
            <wp:effectExtent b="0" l="0" r="0" t="0"/>
            <wp:docPr descr="" title="" id="1" name="Picture"/>
            <a:graphic>
              <a:graphicData uri="http://schemas.openxmlformats.org/drawingml/2006/picture">
                <pic:pic>
                  <pic:nvPicPr>
                    <pic:cNvPr descr="self_similarity_files/figure-docx/comparison%202-1.png" id="0" name="Picture"/>
                    <pic:cNvPicPr>
                      <a:picLocks noChangeArrowheads="1" noChangeAspect="1"/>
                    </pic:cNvPicPr>
                  </pic:nvPicPr>
                  <pic:blipFill>
                    <a:blip r:embed="rId31"/>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self_similarity_files/figure-docx/comparison%202-2.png" id="0" name="Picture"/>
                    <pic:cNvPicPr>
                      <a:picLocks noChangeArrowheads="1" noChangeAspect="1"/>
                    </pic:cNvPicPr>
                  </pic:nvPicPr>
                  <pic:blipFill>
                    <a:blip r:embed="rId32"/>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self_similarity_files/figure-docx/comparison%202-3.png" id="0" name="Picture"/>
                    <pic:cNvPicPr>
                      <a:picLocks noChangeArrowheads="1" noChangeAspect="1"/>
                    </pic:cNvPicPr>
                  </pic:nvPicPr>
                  <pic:blipFill>
                    <a:blip r:embed="rId33"/>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self_similarity_files/figure-docx/comparison%202-4.png" id="0" name="Picture"/>
                    <pic:cNvPicPr>
                      <a:picLocks noChangeArrowheads="1" noChangeAspect="1"/>
                    </pic:cNvPicPr>
                  </pic:nvPicPr>
                  <pic:blipFill>
                    <a:blip r:embed="rId34"/>
                    <a:stretch>
                      <a:fillRect/>
                    </a:stretch>
                  </pic:blipFill>
                  <pic:spPr bwMode="auto">
                    <a:xfrm>
                      <a:off x="0" y="0"/>
                      <a:ext cx="1848050" cy="1848050"/>
                    </a:xfrm>
                    <a:prstGeom prst="rect">
                      <a:avLst/>
                    </a:prstGeom>
                    <a:noFill/>
                    <a:ln w="9525">
                      <a:noFill/>
                      <a:headEnd/>
                      <a:tailEnd/>
                    </a:ln>
                  </pic:spPr>
                </pic:pic>
              </a:graphicData>
            </a:graphic>
          </wp:inline>
        </w:drawing>
      </w:r>
      <w:r>
        <w:drawing>
          <wp:inline>
            <wp:extent cx="1848050" cy="1848050"/>
            <wp:effectExtent b="0" l="0" r="0" t="0"/>
            <wp:docPr descr="" title="" id="1" name="Picture"/>
            <a:graphic>
              <a:graphicData uri="http://schemas.openxmlformats.org/drawingml/2006/picture">
                <pic:pic>
                  <pic:nvPicPr>
                    <pic:cNvPr descr="self_similarity_files/figure-docx/comparison%202-5.png" id="0" name="Picture"/>
                    <pic:cNvPicPr>
                      <a:picLocks noChangeArrowheads="1" noChangeAspect="1"/>
                    </pic:cNvPicPr>
                  </pic:nvPicPr>
                  <pic:blipFill>
                    <a:blip r:embed="rId35"/>
                    <a:stretch>
                      <a:fillRect/>
                    </a:stretch>
                  </pic:blipFill>
                  <pic:spPr bwMode="auto">
                    <a:xfrm>
                      <a:off x="0" y="0"/>
                      <a:ext cx="1848050" cy="1848050"/>
                    </a:xfrm>
                    <a:prstGeom prst="rect">
                      <a:avLst/>
                    </a:prstGeom>
                    <a:noFill/>
                    <a:ln w="9525">
                      <a:noFill/>
                      <a:headEnd/>
                      <a:tailEnd/>
                    </a:ln>
                  </pic:spPr>
                </pic:pic>
              </a:graphicData>
            </a:graphic>
          </wp:inline>
        </w:drawing>
      </w:r>
    </w:p>
    <w:p>
      <w:pPr>
        <w:pStyle w:val="Heading2"/>
      </w:pPr>
      <w:bookmarkStart w:id="36" w:name="across-a-range-of-s-and-n"/>
      <w:r>
        <w:t xml:space="preserve">Across a range of S and N</w:t>
      </w:r>
      <w:bookmarkEnd w:id="36"/>
    </w:p>
    <w:p>
      <w:pPr>
        <w:pStyle w:val="FirstParagraph"/>
      </w:pPr>
      <w:r>
        <w:t xml:space="preserve">Here we have drawn samples from a</w:t>
      </w:r>
      <w:r>
        <w:t xml:space="preserve"> </w:t>
      </w:r>
      <w:r>
        <w:t xml:space="preserve">“</w:t>
      </w:r>
      <w:r>
        <w:t xml:space="preserve">net</w:t>
      </w:r>
      <w:r>
        <w:t xml:space="preserve">”</w:t>
      </w:r>
      <w:r>
        <w:t xml:space="preserve"> </w:t>
      </w:r>
      <w:r>
        <w:t xml:space="preserve">of points in S and N space that spans the range present in our datasets. For each feasible set we make 200 comparisons of elements (although for small feasible sets, 200 is not necessarily possible). Here is how that net is distributed in S and N space, colored by the log() number of elements in the feasible set.</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diffs-1.png" id="0" name="Picture"/>
                    <pic:cNvPicPr>
                      <a:picLocks noChangeArrowheads="1" noChangeAspect="1"/>
                    </pic:cNvPicPr>
                  </pic:nvPicPr>
                  <pic:blipFill>
                    <a:blip r:embed="rId37"/>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3"/>
      </w:pPr>
      <w:bookmarkStart w:id="38" w:name="heat-maps"/>
      <w:r>
        <w:t xml:space="preserve">Heat maps</w:t>
      </w:r>
      <w:bookmarkEnd w:id="38"/>
    </w:p>
    <w:p>
      <w:pPr>
        <w:pStyle w:val="FirstParagraph"/>
      </w:pPr>
      <w:r>
        <w:t xml:space="preserve">We can make heat maps of the density distribution of self-similarity metrics and look at how the densities shift over gradients in the size of the feasible set.</w:t>
      </w:r>
    </w:p>
    <w:p>
      <w:pPr>
        <w:pStyle w:val="BodyText"/>
      </w:pPr>
      <w:r>
        <w:t xml:space="preserve">There are a couple of nuances to doing this:</w:t>
      </w:r>
    </w:p>
    <w:p>
      <w:pPr>
        <w:pStyle w:val="Compact"/>
        <w:numPr>
          <w:numId w:val="1002"/>
          <w:ilvl w:val="0"/>
        </w:numPr>
      </w:pPr>
      <w:r>
        <w:t xml:space="preserve">We need to have the same number of comparisons for every feasible set, so that the density distributions will be comparable. In order to get a large swatch of S by N space, I’ve taken 50 comparisons from every feasible set. This is pretty low, so it lets us get even small feasible sets. Setting the minimum higher does not change the overall impression.</w:t>
      </w:r>
    </w:p>
    <w:p>
      <w:pPr>
        <w:pStyle w:val="Compact"/>
        <w:numPr>
          <w:numId w:val="1002"/>
          <w:ilvl w:val="0"/>
        </w:numPr>
      </w:pPr>
      <w:r>
        <w:t xml:space="preserve">The metrics vary in how they are bounded. For some of them (R2, log r2) they can have nonsensical long tails towards very low values. For visualization, I’ve filtered out the long tail values (prior to selecting the 50 comparisons). The long tails tend to be most dominant in the comparisons made from small feasible sets. Removing them therefore makes the small feasible sets look</w:t>
      </w:r>
      <w:r>
        <w:t xml:space="preserve"> </w:t>
      </w:r>
      <w:r>
        <w:rPr>
          <w:i/>
        </w:rPr>
        <w:t xml:space="preserve">more</w:t>
      </w:r>
      <w:r>
        <w:t xml:space="preserve"> </w:t>
      </w:r>
      <w:r>
        <w:t xml:space="preserve">self-similar.</w:t>
      </w:r>
    </w:p>
    <w:p>
      <w:pPr>
        <w:pStyle w:val="Heading4"/>
      </w:pPr>
      <w:bookmarkStart w:id="39" w:name="r2"/>
      <w:r>
        <w:t xml:space="preserve">R2</w:t>
      </w:r>
      <w:bookmarkEnd w:id="39"/>
    </w:p>
    <w:p>
      <w:pPr>
        <w:pStyle w:val="FirstParagraph"/>
      </w:pPr>
      <w:r>
        <w:t xml:space="preserve">Higher R2 values indicate more similarity. R2 can be</w:t>
      </w:r>
      <w:r>
        <w:t xml:space="preserve"> </w:t>
      </w:r>
      <w:r>
        <w:rPr>
          <w:i/>
        </w:rPr>
        <w:t xml:space="preserve">very low</w:t>
      </w:r>
      <w:r>
        <w:t xml:space="preserve"> </w:t>
      </w:r>
      <w:r>
        <w:t xml:space="preserve">but the most meaningful variation is between 0 and 1.</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heat%20maps-1.png" id="0" name="Picture"/>
                    <pic:cNvPicPr>
                      <a:picLocks noChangeArrowheads="1" noChangeAspect="1"/>
                    </pic:cNvPicPr>
                  </pic:nvPicPr>
                  <pic:blipFill>
                    <a:blip r:embed="rId40"/>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heat%20maps-2.png" id="0" name="Picture"/>
                    <pic:cNvPicPr>
                      <a:picLocks noChangeArrowheads="1" noChangeAspect="1"/>
                    </pic:cNvPicPr>
                  </pic:nvPicPr>
                  <pic:blipFill>
                    <a:blip r:embed="rId41"/>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R2 for only</w:t>
      </w:r>
      <w:r>
        <w:t xml:space="preserve"> </w:t>
      </w:r>
      <w:r>
        <w:t xml:space="preserve">“</w:t>
      </w:r>
      <w:r>
        <w:t xml:space="preserve">small</w:t>
      </w:r>
      <w:r>
        <w:t xml:space="preserve">”</w:t>
      </w:r>
      <w:r>
        <w:t xml:space="preserve"> </w:t>
      </w:r>
      <w:r>
        <w:t xml:space="preserve">feasible sets (those with fewer than 4.851652</w:t>
      </w:r>
      <w:r>
        <w:t xml:space="preserve">10^{8} elements in the feasible set). This lets us zoom in on the distributions where they start to broaden out.</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r2%20small-1.png" id="0" name="Picture"/>
                    <pic:cNvPicPr>
                      <a:picLocks noChangeArrowheads="1" noChangeAspect="1"/>
                    </pic:cNvPicPr>
                  </pic:nvPicPr>
                  <pic:blipFill>
                    <a:blip r:embed="rId42"/>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r2%20small-2.png" id="0" name="Picture"/>
                    <pic:cNvPicPr>
                      <a:picLocks noChangeArrowheads="1" noChangeAspect="1"/>
                    </pic:cNvPicPr>
                  </pic:nvPicPr>
                  <pic:blipFill>
                    <a:blip r:embed="rId43"/>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4"/>
      </w:pPr>
      <w:bookmarkStart w:id="44" w:name="r2-on-logged-vectors"/>
      <w:r>
        <w:t xml:space="preserve">R2 on logged vectors</w:t>
      </w:r>
      <w:bookmarkEnd w:id="44"/>
    </w:p>
    <w:p>
      <w:pPr>
        <w:pStyle w:val="FirstParagraph"/>
      </w:pPr>
      <w:r>
        <w:t xml:space="preserve">Higher R2 values indicate more similarity. R2 can be</w:t>
      </w:r>
      <w:r>
        <w:t xml:space="preserve"> </w:t>
      </w:r>
      <w:r>
        <w:rPr>
          <w:i/>
        </w:rPr>
        <w:t xml:space="preserve">very low</w:t>
      </w:r>
      <w:r>
        <w:t xml:space="preserve"> </w:t>
      </w:r>
      <w:r>
        <w:t xml:space="preserve">but the most meaningful variation is between 0 and 1.</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r2%20on%20log-1.png" id="0" name="Picture"/>
                    <pic:cNvPicPr>
                      <a:picLocks noChangeArrowheads="1" noChangeAspect="1"/>
                    </pic:cNvPicPr>
                  </pic:nvPicPr>
                  <pic:blipFill>
                    <a:blip r:embed="rId45"/>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r2%20on%20log-2.png" id="0" name="Picture"/>
                    <pic:cNvPicPr>
                      <a:picLocks noChangeArrowheads="1" noChangeAspect="1"/>
                    </pic:cNvPicPr>
                  </pic:nvPicPr>
                  <pic:blipFill>
                    <a:blip r:embed="rId46"/>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R2 on logged vectors for only</w:t>
      </w:r>
      <w:r>
        <w:t xml:space="preserve"> </w:t>
      </w:r>
      <w:r>
        <w:t xml:space="preserve">“</w:t>
      </w:r>
      <w:r>
        <w:t xml:space="preserve">small</w:t>
      </w:r>
      <w:r>
        <w:t xml:space="preserve">”</w:t>
      </w:r>
      <w:r>
        <w:t xml:space="preserve"> </w:t>
      </w:r>
      <w:r>
        <w:t xml:space="preserve">feasible sets (those with fewer than 4.851652</w:t>
      </w:r>
      <w:r>
        <w:t xml:space="preserve">10^{8} elements in the feasible set). This lets us zoom in on the distributions where they start to broaden out.</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r2%20log%20small-1.png" id="0" name="Picture"/>
                    <pic:cNvPicPr>
                      <a:picLocks noChangeArrowheads="1" noChangeAspect="1"/>
                    </pic:cNvPicPr>
                  </pic:nvPicPr>
                  <pic:blipFill>
                    <a:blip r:embed="rId47"/>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r2%20log%20small-2.png" id="0" name="Picture"/>
                    <pic:cNvPicPr>
                      <a:picLocks noChangeArrowheads="1" noChangeAspect="1"/>
                    </pic:cNvPicPr>
                  </pic:nvPicPr>
                  <pic:blipFill>
                    <a:blip r:embed="rId48"/>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4"/>
      </w:pPr>
      <w:bookmarkStart w:id="49" w:name="coefficient-of-determination"/>
      <w:r>
        <w:t xml:space="preserve">Coefficient of determination</w:t>
      </w:r>
      <w:bookmarkEnd w:id="49"/>
    </w:p>
    <w:p>
      <w:pPr>
        <w:pStyle w:val="FirstParagraph"/>
      </w:pPr>
      <w:r>
        <w:t xml:space="preserve">Higher CD values indicate more similarity. It is bounded 0 to 1.</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unnamed-chunk-1-1.png" id="0" name="Picture"/>
                    <pic:cNvPicPr>
                      <a:picLocks noChangeArrowheads="1" noChangeAspect="1"/>
                    </pic:cNvPicPr>
                  </pic:nvPicPr>
                  <pic:blipFill>
                    <a:blip r:embed="rId50"/>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unnamed-chunk-1-2.png" id="0" name="Picture"/>
                    <pic:cNvPicPr>
                      <a:picLocks noChangeArrowheads="1" noChangeAspect="1"/>
                    </pic:cNvPicPr>
                  </pic:nvPicPr>
                  <pic:blipFill>
                    <a:blip r:embed="rId51"/>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cd for only</w:t>
      </w:r>
      <w:r>
        <w:t xml:space="preserve"> </w:t>
      </w:r>
      <w:r>
        <w:t xml:space="preserve">“</w:t>
      </w:r>
      <w:r>
        <w:t xml:space="preserve">small</w:t>
      </w:r>
      <w:r>
        <w:t xml:space="preserve">”</w:t>
      </w:r>
      <w:r>
        <w:t xml:space="preserve"> </w:t>
      </w:r>
      <w:r>
        <w:t xml:space="preserve">feasible sets (those with fewer than 4.851652</w:t>
      </w:r>
      <w:r>
        <w:t xml:space="preserve">10^{8} elements in the feasible set). This lets us zoom in on the distributions where they start to broaden out.</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cd%20small-1.png" id="0" name="Picture"/>
                    <pic:cNvPicPr>
                      <a:picLocks noChangeArrowheads="1" noChangeAspect="1"/>
                    </pic:cNvPicPr>
                  </pic:nvPicPr>
                  <pic:blipFill>
                    <a:blip r:embed="rId52"/>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cd%20small-2.png" id="0" name="Picture"/>
                    <pic:cNvPicPr>
                      <a:picLocks noChangeArrowheads="1" noChangeAspect="1"/>
                    </pic:cNvPicPr>
                  </pic:nvPicPr>
                  <pic:blipFill>
                    <a:blip r:embed="rId53"/>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4"/>
      </w:pPr>
      <w:bookmarkStart w:id="54" w:name="Xee61e2786c69f9903b157ec2fa51ed510a020a4"/>
      <w:r>
        <w:t xml:space="preserve">Proportion of individuals allocated to different species</w:t>
      </w:r>
      <w:bookmarkEnd w:id="54"/>
    </w:p>
    <w:p>
      <w:pPr>
        <w:pStyle w:val="FirstParagraph"/>
      </w:pPr>
      <w:r>
        <w:t xml:space="preserve">Lower</w:t>
      </w:r>
      <w:r>
        <w:t xml:space="preserve"> </w:t>
      </w:r>
      <w:r>
        <w:t xml:space="preserve">“</w:t>
      </w:r>
      <w:r>
        <w:t xml:space="preserve">prop off</w:t>
      </w:r>
      <w:r>
        <w:t xml:space="preserve">”</w:t>
      </w:r>
      <w:r>
        <w:t xml:space="preserve"> </w:t>
      </w:r>
      <w:r>
        <w:t xml:space="preserve">values indicate more similarity. It is bounded 0 to 1.</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prop%20off%20heat%20maps-1.png" id="0" name="Picture"/>
                    <pic:cNvPicPr>
                      <a:picLocks noChangeArrowheads="1" noChangeAspect="1"/>
                    </pic:cNvPicPr>
                  </pic:nvPicPr>
                  <pic:blipFill>
                    <a:blip r:embed="rId55"/>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prop%20off%20heat%20maps-2.png" id="0" name="Picture"/>
                    <pic:cNvPicPr>
                      <a:picLocks noChangeArrowheads="1" noChangeAspect="1"/>
                    </pic:cNvPicPr>
                  </pic:nvPicPr>
                  <pic:blipFill>
                    <a:blip r:embed="rId56"/>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prop_off for only</w:t>
      </w:r>
      <w:r>
        <w:t xml:space="preserve"> </w:t>
      </w:r>
      <w:r>
        <w:t xml:space="preserve">“</w:t>
      </w:r>
      <w:r>
        <w:t xml:space="preserve">small</w:t>
      </w:r>
      <w:r>
        <w:t xml:space="preserve">”</w:t>
      </w:r>
      <w:r>
        <w:t xml:space="preserve"> </w:t>
      </w:r>
      <w:r>
        <w:t xml:space="preserve">feasible sets (those with fewer than 4.851652</w:t>
      </w:r>
      <w:r>
        <w:t xml:space="preserve">10^{8} elements in the feasible set). This lets us zoom in on the distributions where they start to broaden out.</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prop_off%20small-1.png" id="0" name="Picture"/>
                    <pic:cNvPicPr>
                      <a:picLocks noChangeArrowheads="1" noChangeAspect="1"/>
                    </pic:cNvPicPr>
                  </pic:nvPicPr>
                  <pic:blipFill>
                    <a:blip r:embed="rId57"/>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prop_off%20small-2.png" id="0" name="Picture"/>
                    <pic:cNvPicPr>
                      <a:picLocks noChangeArrowheads="1" noChangeAspect="1"/>
                    </pic:cNvPicPr>
                  </pic:nvPicPr>
                  <pic:blipFill>
                    <a:blip r:embed="rId58"/>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4"/>
      </w:pPr>
      <w:bookmarkStart w:id="59" w:name="k-l-divergence"/>
      <w:r>
        <w:t xml:space="preserve">K-L divergence</w:t>
      </w:r>
      <w:bookmarkEnd w:id="59"/>
    </w:p>
    <w:p>
      <w:pPr>
        <w:pStyle w:val="FirstParagraph"/>
      </w:pPr>
      <w:r>
        <w:t xml:space="preserve">Lower divergence values indicate more similarity. It is bounded 0 to 1.</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div%20heat%20maps-1.png" id="0" name="Picture"/>
                    <pic:cNvPicPr>
                      <a:picLocks noChangeArrowheads="1" noChangeAspect="1"/>
                    </pic:cNvPicPr>
                  </pic:nvPicPr>
                  <pic:blipFill>
                    <a:blip r:embed="rId60"/>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div%20heat%20maps-2.png" id="0" name="Picture"/>
                    <pic:cNvPicPr>
                      <a:picLocks noChangeArrowheads="1" noChangeAspect="1"/>
                    </pic:cNvPicPr>
                  </pic:nvPicPr>
                  <pic:blipFill>
                    <a:blip r:embed="rId61"/>
                    <a:stretch>
                      <a:fillRect/>
                    </a:stretch>
                  </pic:blipFill>
                  <pic:spPr bwMode="auto">
                    <a:xfrm>
                      <a:off x="0" y="0"/>
                      <a:ext cx="2772075" cy="2310063"/>
                    </a:xfrm>
                    <a:prstGeom prst="rect">
                      <a:avLst/>
                    </a:prstGeom>
                    <a:noFill/>
                    <a:ln w="9525">
                      <a:noFill/>
                      <a:headEnd/>
                      <a:tailEnd/>
                    </a:ln>
                  </pic:spPr>
                </pic:pic>
              </a:graphicData>
            </a:graphic>
          </wp:inline>
        </w:drawing>
      </w:r>
    </w:p>
    <w:p>
      <w:pPr>
        <w:pStyle w:val="BodyText"/>
      </w:pPr>
      <w:r>
        <w:t xml:space="preserve">Here is K-L divergence for only</w:t>
      </w:r>
      <w:r>
        <w:t xml:space="preserve"> </w:t>
      </w:r>
      <w:r>
        <w:t xml:space="preserve">“</w:t>
      </w:r>
      <w:r>
        <w:t xml:space="preserve">small</w:t>
      </w:r>
      <w:r>
        <w:t xml:space="preserve">”</w:t>
      </w:r>
      <w:r>
        <w:t xml:space="preserve"> </w:t>
      </w:r>
      <w:r>
        <w:t xml:space="preserve">feasible sets (those with fewer than 4.851652</w:t>
      </w:r>
      <w:r>
        <w:t xml:space="preserve">10^{8} elements in the feasible set). This lets us zoom in on the distributions where they start to broaden out.</w:t>
      </w:r>
    </w:p>
    <w:p>
      <w:pPr>
        <w:pStyle w:val="BodyText"/>
      </w:pPr>
      <w:r>
        <w:drawing>
          <wp:inline>
            <wp:extent cx="2772075" cy="2310063"/>
            <wp:effectExtent b="0" l="0" r="0" t="0"/>
            <wp:docPr descr="" title="" id="1" name="Picture"/>
            <a:graphic>
              <a:graphicData uri="http://schemas.openxmlformats.org/drawingml/2006/picture">
                <pic:pic>
                  <pic:nvPicPr>
                    <pic:cNvPr descr="self_similarity_files/figure-docx/div%20small-1.png" id="0" name="Picture"/>
                    <pic:cNvPicPr>
                      <a:picLocks noChangeArrowheads="1" noChangeAspect="1"/>
                    </pic:cNvPicPr>
                  </pic:nvPicPr>
                  <pic:blipFill>
                    <a:blip r:embed="rId62"/>
                    <a:stretch>
                      <a:fillRect/>
                    </a:stretch>
                  </pic:blipFill>
                  <pic:spPr bwMode="auto">
                    <a:xfrm>
                      <a:off x="0" y="0"/>
                      <a:ext cx="2772075" cy="2310063"/>
                    </a:xfrm>
                    <a:prstGeom prst="rect">
                      <a:avLst/>
                    </a:prstGeom>
                    <a:noFill/>
                    <a:ln w="9525">
                      <a:noFill/>
                      <a:headEnd/>
                      <a:tailEnd/>
                    </a:ln>
                  </pic:spPr>
                </pic:pic>
              </a:graphicData>
            </a:graphic>
          </wp:inline>
        </w:drawing>
      </w:r>
      <w:r>
        <w:drawing>
          <wp:inline>
            <wp:extent cx="2772075" cy="2310063"/>
            <wp:effectExtent b="0" l="0" r="0" t="0"/>
            <wp:docPr descr="" title="" id="1" name="Picture"/>
            <a:graphic>
              <a:graphicData uri="http://schemas.openxmlformats.org/drawingml/2006/picture">
                <pic:pic>
                  <pic:nvPicPr>
                    <pic:cNvPr descr="self_similarity_files/figure-docx/div%20small-2.png" id="0" name="Picture"/>
                    <pic:cNvPicPr>
                      <a:picLocks noChangeArrowheads="1" noChangeAspect="1"/>
                    </pic:cNvPicPr>
                  </pic:nvPicPr>
                  <pic:blipFill>
                    <a:blip r:embed="rId63"/>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3"/>
      </w:pPr>
      <w:bookmarkStart w:id="64" w:name="in-summary"/>
      <w:r>
        <w:t xml:space="preserve">In summary</w:t>
      </w:r>
      <w:bookmarkEnd w:id="64"/>
    </w:p>
    <w:p>
      <w:pPr>
        <w:pStyle w:val="FirstParagraph"/>
      </w:pPr>
      <w:r>
        <w:t xml:space="preserve">Large feasible sets are consistently more self-similar than small 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0" Target="https://github.com/diazrenata/sadspace"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diazrenata/sad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Self-similarity of the elements of the feasible set</dc:title>
  <dc:creator>Renata Diaz</dc:creator>
  <cp:keywords/>
  <dcterms:created xsi:type="dcterms:W3CDTF">2020-11-30T20:52:03Z</dcterms:created>
  <dcterms:modified xsi:type="dcterms:W3CDTF">2020-11-30T20:52:03Z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2020-11-30</vt:lpwstr>
  </property>
  <property fmtid="{D5CDD505-2E9C-101B-9397-08002B2CF9AE}" pid="3" name="output">
    <vt:lpwstr/>
  </property>
</Properties>
</file>