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gure-s4"/>
      <w:r>
        <w:t xml:space="preserve">Figure S4</w:t>
      </w:r>
      <w:bookmarkEnd w:id="20"/>
    </w:p>
    <w:p>
      <w:pPr>
        <w:pStyle w:val="FirstParagraph"/>
      </w:pPr>
      <w:r>
        <w:drawing>
          <wp:inline>
            <wp:extent cx="5334000" cy="4267200"/>
            <wp:effectExtent b="0" l="0" r="0" t="0"/>
            <wp:docPr descr="" title="" id="1" name="Picture"/>
            <a:graphic>
              <a:graphicData uri="http://schemas.openxmlformats.org/drawingml/2006/picture">
                <pic:pic>
                  <pic:nvPicPr>
                    <pic:cNvPr descr="figure_s4_files/figure-docx/final%20dataset%20s%20and%20n%20spac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rPr>
          <w:b/>
        </w:rPr>
        <w:t xml:space="preserve">Legend.</w:t>
      </w:r>
      <w:r>
        <w:t xml:space="preserve"> </w:t>
      </w:r>
      <w:r>
        <w:t xml:space="preserve">Distribution of communities from each dataset in termof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2021-01-14T20:08:54Z</dcterms:created>
  <dcterms:modified xsi:type="dcterms:W3CDTF">2021-01-14T20:08:54Z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