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Complete</w:t>
      </w:r>
      <w:r>
        <w:t xml:space="preserve"> </w:t>
      </w:r>
      <w:r>
        <w:t xml:space="preserve">results</w:t>
      </w:r>
      <w:r>
        <w:t xml:space="preserve"> </w:t>
      </w:r>
      <w:r>
        <w:t xml:space="preserve">for</w:t>
      </w:r>
      <w:r>
        <w:t xml:space="preserve"> </w:t>
      </w:r>
      <w:r>
        <w:t xml:space="preserve">very</w:t>
      </w:r>
      <w:r>
        <w:t xml:space="preserve"> </w:t>
      </w:r>
      <w:r>
        <w:t xml:space="preserve">small</w:t>
      </w:r>
      <w:r>
        <w:t xml:space="preserve"> </w:t>
      </w:r>
      <w:r>
        <w:t xml:space="preserve">(&lt;2000</w:t>
      </w:r>
      <w:r>
        <w:t xml:space="preserve"> </w:t>
      </w:r>
      <w:r>
        <w:t xml:space="preserve">possible</w:t>
      </w:r>
      <w:r>
        <w:t xml:space="preserve"> </w:t>
      </w:r>
      <w:r>
        <w:t xml:space="preserve">SADs)</w:t>
      </w:r>
      <w:r>
        <w:t xml:space="preserve"> </w:t>
      </w:r>
      <w:r>
        <w:t xml:space="preserve">communities</w:t>
      </w:r>
    </w:p>
    <w:p>
      <w:pPr>
        <w:pStyle w:val="Author"/>
      </w:pPr>
      <w:r>
        <w:t xml:space="preserve">Renata</w:t>
      </w:r>
      <w:r>
        <w:t xml:space="preserve"> </w:t>
      </w:r>
      <w:r>
        <w:t xml:space="preserve">Diaz</w:t>
      </w:r>
    </w:p>
    <w:p>
      <w:pPr>
        <w:pStyle w:val="Date"/>
      </w:pPr>
      <w:r>
        <w:t xml:space="preserve">2021-03-22</w:t>
      </w:r>
    </w:p>
    <w:p>
      <w:pPr>
        <w:pStyle w:val="Heading1"/>
      </w:pPr>
      <w:bookmarkStart w:id="20" w:name="proportions-of-extreme-values"/>
      <w:r>
        <w:t xml:space="preserve">Proportions of extreme values</w:t>
      </w:r>
      <w:bookmarkEnd w:id="20"/>
    </w:p>
    <w:p>
      <w:pPr>
        <w:pStyle w:val="SourceCode"/>
      </w:pPr>
      <w:r>
        <w:rPr>
          <w:rStyle w:val="VerbatimChar"/>
        </w:rPr>
        <w:t xml:space="preserve">## `summarise()` has grouped output by 'Dataset'. You can override using the `.groups` argument.</w:t>
      </w:r>
      <w:r>
        <w:br/>
      </w:r>
      <w:r>
        <w:rPr>
          <w:rStyle w:val="VerbatimChar"/>
        </w:rPr>
        <w:t xml:space="preserve">## `summarise()` has grouped output by 'Dataset'. You can override using the `.groups` argument.</w:t>
      </w:r>
      <w:r>
        <w:br/>
      </w:r>
      <w:r>
        <w:rPr>
          <w:rStyle w:val="VerbatimChar"/>
        </w:rPr>
        <w:t xml:space="preserve">## `summarise()` has grouped output by 'Dataset'.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Joining, by = c("Dataset", "Number of elements")</w:t>
      </w:r>
      <w:r>
        <w:br/>
      </w:r>
      <w:r>
        <w:rPr>
          <w:rStyle w:val="VerbatimChar"/>
        </w:rPr>
        <w:t xml:space="preserve">## Joining, by = c("Dataset", "Number of elements")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Proportion with nparts &lt; 2000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right"/>
            </w:pPr>
            <w:r>
              <w:t xml:space="preserve">0.6804901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right"/>
            </w:pPr>
            <w:r>
              <w:t xml:space="preserve">0.3496377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ℹ Use `all_of(cols1)` instead of `cols1` to silence this message.</w:t>
      </w:r>
      <w:r>
        <w:br/>
      </w:r>
      <w:r>
        <w:rPr>
          <w:rStyle w:val="VerbatimChar"/>
        </w:rPr>
        <w:t xml:space="preserve">## ℹ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tbl>
      <w:tblPr>
        <w:tblStyle w:val="Table"/>
        <w:tblW w:type="pct" w:w="4999.999999999999"/>
        <w:tblLook w:firstRow="1"/>
      </w:tblPr>
      <w:tblGrid>
        <w:gridCol w:w="1098"/>
        <w:gridCol w:w="1098"/>
        <w:gridCol w:w="1098"/>
        <w:gridCol w:w="1849"/>
        <w:gridCol w:w="924"/>
        <w:gridCol w:w="924"/>
        <w:gridCol w:w="92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elements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dissimilarity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proportion of rare 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Simpson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Shannon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Less than 2000</w:t>
            </w:r>
          </w:p>
        </w:tc>
        <w:tc>
          <w:p>
            <w:pPr>
              <w:pStyle w:val="Compact"/>
              <w:jc w:val="left"/>
            </w:pPr>
            <w:r>
              <w:t xml:space="preserve">5.3%; n = 12553</w:t>
            </w:r>
          </w:p>
        </w:tc>
        <w:tc>
          <w:p>
            <w:pPr>
              <w:pStyle w:val="Compact"/>
              <w:jc w:val="left"/>
            </w:pPr>
            <w:r>
              <w:t xml:space="preserve">1.2%; n = 11516</w:t>
            </w:r>
          </w:p>
        </w:tc>
        <w:tc>
          <w:p>
            <w:pPr>
              <w:pStyle w:val="Compact"/>
              <w:jc w:val="left"/>
            </w:pPr>
            <w:r>
              <w:t xml:space="preserve">1.2%; n = 11516</w:t>
            </w:r>
          </w:p>
        </w:tc>
        <w:tc>
          <w:p>
            <w:pPr>
              <w:pStyle w:val="Compact"/>
              <w:jc w:val="left"/>
            </w:pPr>
            <w:r>
              <w:t xml:space="preserve">3.9%; n = 11516</w:t>
            </w:r>
          </w:p>
        </w:tc>
        <w:tc>
          <w:p>
            <w:pPr>
              <w:pStyle w:val="Compact"/>
              <w:jc w:val="left"/>
            </w:pPr>
            <w:r>
              <w:t xml:space="preserve">3.6%; n = 11516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More than 2000</w:t>
            </w:r>
          </w:p>
        </w:tc>
        <w:tc>
          <w:p>
            <w:pPr>
              <w:pStyle w:val="Compact"/>
              <w:jc w:val="left"/>
            </w:pPr>
            <w:r>
              <w:t xml:space="preserve">11%; n = 5894</w:t>
            </w:r>
          </w:p>
        </w:tc>
        <w:tc>
          <w:p>
            <w:pPr>
              <w:pStyle w:val="Compact"/>
              <w:jc w:val="left"/>
            </w:pPr>
            <w:r>
              <w:t xml:space="preserve">1.7%; n = 5894</w:t>
            </w:r>
          </w:p>
        </w:tc>
        <w:tc>
          <w:p>
            <w:pPr>
              <w:pStyle w:val="Compact"/>
              <w:jc w:val="left"/>
            </w:pPr>
            <w:r>
              <w:t xml:space="preserve">6%; n = 5894</w:t>
            </w:r>
          </w:p>
        </w:tc>
        <w:tc>
          <w:p>
            <w:pPr>
              <w:pStyle w:val="Compact"/>
              <w:jc w:val="left"/>
            </w:pPr>
            <w:r>
              <w:t xml:space="preserve">9.5%; n = 5894</w:t>
            </w:r>
          </w:p>
        </w:tc>
        <w:tc>
          <w:p>
            <w:pPr>
              <w:pStyle w:val="Compact"/>
              <w:jc w:val="left"/>
            </w:pPr>
            <w:r>
              <w:t xml:space="preserve">9%; n = 5894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Less than 2000</w:t>
            </w:r>
          </w:p>
        </w:tc>
        <w:tc>
          <w:p>
            <w:pPr>
              <w:pStyle w:val="Compact"/>
              <w:jc w:val="left"/>
            </w:pPr>
            <w:r>
              <w:t xml:space="preserve">12%; n = 193</w:t>
            </w:r>
          </w:p>
        </w:tc>
        <w:tc>
          <w:p>
            <w:pPr>
              <w:pStyle w:val="Compact"/>
              <w:jc w:val="left"/>
            </w:pPr>
            <w:r>
              <w:t xml:space="preserve">4.6%; n = 152</w:t>
            </w:r>
          </w:p>
        </w:tc>
        <w:tc>
          <w:p>
            <w:pPr>
              <w:pStyle w:val="Compact"/>
              <w:jc w:val="left"/>
            </w:pPr>
            <w:r>
              <w:t xml:space="preserve">1.4%; n = 146</w:t>
            </w:r>
          </w:p>
        </w:tc>
        <w:tc>
          <w:p>
            <w:pPr>
              <w:pStyle w:val="Compact"/>
              <w:jc w:val="left"/>
            </w:pPr>
            <w:r>
              <w:t xml:space="preserve">12%; n = 152</w:t>
            </w:r>
          </w:p>
        </w:tc>
        <w:tc>
          <w:p>
            <w:pPr>
              <w:pStyle w:val="Compact"/>
              <w:jc w:val="left"/>
            </w:pPr>
            <w:r>
              <w:t xml:space="preserve">12%; n = 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More than 2000</w:t>
            </w:r>
          </w:p>
        </w:tc>
        <w:tc>
          <w:p>
            <w:pPr>
              <w:pStyle w:val="Compact"/>
              <w:jc w:val="left"/>
            </w:pPr>
            <w:r>
              <w:t xml:space="preserve">42%; n = 359</w:t>
            </w:r>
          </w:p>
        </w:tc>
        <w:tc>
          <w:p>
            <w:pPr>
              <w:pStyle w:val="Compact"/>
              <w:jc w:val="left"/>
            </w:pPr>
            <w:r>
              <w:t xml:space="preserve">16%; n = 359</w:t>
            </w:r>
          </w:p>
        </w:tc>
        <w:tc>
          <w:p>
            <w:pPr>
              <w:pStyle w:val="Compact"/>
              <w:jc w:val="left"/>
            </w:pPr>
            <w:r>
              <w:t xml:space="preserve">17%; n = 359</w:t>
            </w:r>
          </w:p>
        </w:tc>
        <w:tc>
          <w:p>
            <w:pPr>
              <w:pStyle w:val="Compact"/>
              <w:jc w:val="left"/>
            </w:pPr>
            <w:r>
              <w:t xml:space="preserve">35%; n = 359</w:t>
            </w:r>
          </w:p>
        </w:tc>
        <w:tc>
          <w:p>
            <w:pPr>
              <w:pStyle w:val="Compact"/>
              <w:jc w:val="left"/>
            </w:pPr>
            <w:r>
              <w:t xml:space="preserve">38%; n = 359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Less than 2000</w:t>
            </w:r>
          </w:p>
        </w:tc>
        <w:tc>
          <w:p>
            <w:pPr>
              <w:pStyle w:val="Compact"/>
              <w:jc w:val="left"/>
            </w:pPr>
            <w:r>
              <w:t xml:space="preserve">11%; n = 38</w:t>
            </w:r>
          </w:p>
        </w:tc>
        <w:tc>
          <w:p>
            <w:pPr>
              <w:pStyle w:val="Compact"/>
              <w:jc w:val="left"/>
            </w:pPr>
            <w:r>
              <w:t xml:space="preserve">6.7%; n = 30</w:t>
            </w:r>
          </w:p>
        </w:tc>
        <w:tc>
          <w:p>
            <w:pPr>
              <w:pStyle w:val="Compact"/>
              <w:jc w:val="left"/>
            </w:pPr>
            <w:r>
              <w:t xml:space="preserve">7.1%; n = 28</w:t>
            </w:r>
          </w:p>
        </w:tc>
        <w:tc>
          <w:p>
            <w:pPr>
              <w:pStyle w:val="Compact"/>
              <w:jc w:val="left"/>
            </w:pPr>
            <w:r>
              <w:t xml:space="preserve">10%; n = 30</w:t>
            </w:r>
          </w:p>
        </w:tc>
        <w:tc>
          <w:p>
            <w:pPr>
              <w:pStyle w:val="Compact"/>
              <w:jc w:val="left"/>
            </w:pPr>
            <w:r>
              <w:t xml:space="preserve">10%; n = 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More than 2000</w:t>
            </w:r>
          </w:p>
        </w:tc>
        <w:tc>
          <w:p>
            <w:pPr>
              <w:pStyle w:val="Compact"/>
              <w:jc w:val="left"/>
            </w:pPr>
            <w:r>
              <w:t xml:space="preserve">63%; n = 456</w:t>
            </w:r>
          </w:p>
        </w:tc>
        <w:tc>
          <w:p>
            <w:pPr>
              <w:pStyle w:val="Compact"/>
              <w:jc w:val="left"/>
            </w:pPr>
            <w:r>
              <w:t xml:space="preserve">29%; n = 456</w:t>
            </w:r>
          </w:p>
        </w:tc>
        <w:tc>
          <w:p>
            <w:pPr>
              <w:pStyle w:val="Compact"/>
              <w:jc w:val="left"/>
            </w:pPr>
            <w:r>
              <w:t xml:space="preserve">29%; n = 456</w:t>
            </w:r>
          </w:p>
        </w:tc>
        <w:tc>
          <w:p>
            <w:pPr>
              <w:pStyle w:val="Compact"/>
              <w:jc w:val="left"/>
            </w:pPr>
            <w:r>
              <w:t xml:space="preserve">56%; n = 456</w:t>
            </w:r>
          </w:p>
        </w:tc>
        <w:tc>
          <w:p>
            <w:pPr>
              <w:pStyle w:val="Compact"/>
              <w:jc w:val="left"/>
            </w:pPr>
            <w:r>
              <w:t xml:space="preserve">59%; n = 456</w:t>
            </w:r>
          </w:p>
        </w:tc>
      </w:tr>
    </w:tbl>
    <w:p>
      <w:pPr>
        <w:pStyle w:val="Heading1"/>
      </w:pPr>
      <w:bookmarkStart w:id="21" w:name="X931c8f6038a7b83d745713eeacd91d74fc2ff1c"/>
      <w:r>
        <w:t xml:space="preserve">Distributions of breadth indices and percentile scores</w:t>
      </w:r>
      <w:bookmarkEnd w:id="21"/>
    </w:p>
    <w:p>
      <w:pPr>
        <w:pStyle w:val="FirstParagraph"/>
      </w:pPr>
      <w:r>
        <w:t xml:space="preserve">Breadth indices (top) and percentile scores (bottom) for communities with fewer than 2000 possible SADs, or more than 2000 possible SADs, from FIA, Mammal Community, and Misc. Abundance datasets.</w:t>
      </w:r>
    </w:p>
    <w:p>
      <w:pPr>
        <w:pStyle w:val="BodyText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10_very_small_result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14 rows containing non-finite values (stat_bin).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10_very_small_result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10_very_small_results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10_very_small_results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10_very_small_results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 results for very small (&lt;2000 possible SADs) communities</dc:title>
  <dc:creator>Renata Diaz</dc:creator>
  <cp:keywords/>
  <dcterms:created xsi:type="dcterms:W3CDTF">2021-03-22T20:27:43Z</dcterms:created>
  <dcterms:modified xsi:type="dcterms:W3CDTF">2021-03-22T20:27:43Z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2021-03-22</vt:lpwstr>
  </property>
  <property fmtid="{D5CDD505-2E9C-101B-9397-08002B2CF9AE}" pid="3" name="output">
    <vt:lpwstr/>
  </property>
</Properties>
</file>