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</w:t>
      </w:r>
      <w:r>
        <w:t xml:space="preserve"> </w:t>
      </w:r>
      <w:r>
        <w:t xml:space="preserve">S6</w:t>
      </w:r>
    </w:p>
    <w:p>
      <w:pPr>
        <w:pStyle w:val="Date"/>
      </w:pPr>
      <w:r>
        <w:t xml:space="preserve">2021-05-07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6_breadth_index_fi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S6</w:t>
      </w:r>
      <w:r>
        <w:t xml:space="preserve">. Partially because of the uneven distribution of S and N among the different datasets, the narrowness of the feasible sets - defined either as the 95th percentile of scores for the dissimilarity of samples from the feasible set to the central tendency of the feasible set, or using a breadth index for specific metrics - varies among different datasets. In particular, the FIA dataset, and subsets of the Mammal Community and Miscellaneous Abundance databases, often have highly variable, broadly-defined statistical baselines derived from the feasible set.</w:t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S6</dc:title>
  <dc:creator/>
  <cp:keywords/>
  <dcterms:created xsi:type="dcterms:W3CDTF">2021-05-07T18:51:06Z</dcterms:created>
  <dcterms:modified xsi:type="dcterms:W3CDTF">2021-05-07T18:51:06Z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2021-05-07</vt:lpwstr>
  </property>
  <property fmtid="{D5CDD505-2E9C-101B-9397-08002B2CF9AE}" pid="3" name="output">
    <vt:lpwstr/>
  </property>
</Properties>
</file>