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FIA</w:t>
      </w:r>
      <w:r>
        <w:t xml:space="preserve"> </w:t>
      </w:r>
      <w:r>
        <w:t xml:space="preserve">and</w:t>
      </w:r>
      <w:r>
        <w:t xml:space="preserve"> </w:t>
      </w:r>
      <w:r>
        <w:t xml:space="preserve">equally-sized</w:t>
      </w:r>
      <w:r>
        <w:t xml:space="preserve"> </w:t>
      </w:r>
      <w:r>
        <w:t xml:space="preserve">communities</w:t>
      </w:r>
    </w:p>
    <w:p>
      <w:pPr>
        <w:pStyle w:val="Date"/>
      </w:pPr>
      <w:r>
        <w:t xml:space="preserve">2021-05-07</w:t>
      </w:r>
    </w:p>
    <w:p>
      <w:pPr>
        <w:pStyle w:val="FirstParagraph"/>
      </w:pPr>
      <w:r>
        <w:t xml:space="preserve">We identified ~330 communities in FIA with exact matches, in terms of S and N, among communities from other datasets. We then compared the distributions of percentile scores and breadth indices of FIA communities to communities from other datasets, visually and using Kolmogorov-Smirnov tests.</w:t>
      </w:r>
    </w:p>
    <w:p>
      <w:pPr>
        <w:pStyle w:val="Heading2"/>
      </w:pPr>
      <w:bookmarkStart w:id="20" w:name="percentile-scores"/>
      <w:r>
        <w:t xml:space="preserve">Percentile scores</w:t>
      </w:r>
      <w:bookmarkEnd w:id="20"/>
    </w:p>
    <w:p>
      <w:pPr>
        <w:pStyle w:val="Heading3"/>
      </w:pPr>
      <w:bookmarkStart w:id="21" w:name="histograms"/>
      <w:r>
        <w:t xml:space="preserve">Histograms</w:t>
      </w:r>
      <w:bookmarkEnd w:id="21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9_fia_comparis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proportions-of-extreme-percentile-scores"/>
      <w:r>
        <w:t xml:space="preserve">Proportions of extreme percentile scores</w:t>
      </w:r>
      <w:bookmarkEnd w:id="23"/>
    </w:p>
    <w:tbl>
      <w:tblPr>
        <w:tblStyle w:val="Table"/>
        <w:tblW w:type="pct" w:w="4999.999999999999"/>
        <w:tblLook w:firstRow="1"/>
      </w:tblPr>
      <w:tblGrid>
        <w:gridCol w:w="1120"/>
        <w:gridCol w:w="1419"/>
        <w:gridCol w:w="2390"/>
        <w:gridCol w:w="1046"/>
        <w:gridCol w:w="971"/>
        <w:gridCol w:w="9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17%; n = 373</w:t>
            </w:r>
          </w:p>
        </w:tc>
        <w:tc>
          <w:p>
            <w:pPr>
              <w:pStyle w:val="Compact"/>
              <w:jc w:val="left"/>
            </w:pPr>
            <w:r>
              <w:t xml:space="preserve">4.8%; n = 330</w:t>
            </w:r>
          </w:p>
        </w:tc>
        <w:tc>
          <w:p>
            <w:pPr>
              <w:pStyle w:val="Compact"/>
              <w:jc w:val="left"/>
            </w:pPr>
            <w:r>
              <w:t xml:space="preserve">7%;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  <w:tc>
          <w:p>
            <w:pPr>
              <w:pStyle w:val="Compact"/>
              <w:jc w:val="left"/>
            </w:pPr>
            <w:r>
              <w:t xml:space="preserve">16%; n = 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datasets</w:t>
            </w:r>
          </w:p>
        </w:tc>
        <w:tc>
          <w:p>
            <w:pPr>
              <w:pStyle w:val="Compact"/>
              <w:jc w:val="left"/>
            </w:pPr>
            <w:r>
              <w:t xml:space="preserve">17%; n = 373</w:t>
            </w:r>
          </w:p>
        </w:tc>
        <w:tc>
          <w:p>
            <w:pPr>
              <w:pStyle w:val="Compact"/>
              <w:jc w:val="left"/>
            </w:pPr>
            <w:r>
              <w:t xml:space="preserve">6.1%; n = 330</w:t>
            </w:r>
          </w:p>
        </w:tc>
        <w:tc>
          <w:p>
            <w:pPr>
              <w:pStyle w:val="Compact"/>
              <w:jc w:val="left"/>
            </w:pPr>
            <w:r>
              <w:t xml:space="preserve">6.4%;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</w:tr>
    </w:tbl>
    <w:p>
      <w:pPr>
        <w:pStyle w:val="Heading3"/>
      </w:pPr>
      <w:bookmarkStart w:id="24" w:name="k-s-test-results"/>
      <w:r>
        <w:t xml:space="preserve">K-S test results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K-S 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D…1</w:t>
            </w:r>
          </w:p>
        </w:tc>
        <w:tc>
          <w:p>
            <w:pPr>
              <w:pStyle w:val="Compact"/>
              <w:jc w:val="left"/>
            </w:pPr>
            <w:r>
              <w:t xml:space="preserve">Simpson</w:t>
            </w:r>
          </w:p>
        </w:tc>
        <w:tc>
          <w:p>
            <w:pPr>
              <w:pStyle w:val="Compact"/>
              <w:jc w:val="right"/>
            </w:pPr>
            <w:r>
              <w:t xml:space="preserve">0.0575758</w:t>
            </w:r>
          </w:p>
        </w:tc>
        <w:tc>
          <w:p>
            <w:pPr>
              <w:pStyle w:val="Compact"/>
              <w:jc w:val="right"/>
            </w:pPr>
            <w:r>
              <w:t xml:space="preserve">0.6447379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D…2</w:t>
            </w:r>
          </w:p>
        </w:tc>
        <w:tc>
          <w:p>
            <w:pPr>
              <w:pStyle w:val="Compact"/>
              <w:jc w:val="left"/>
            </w:pPr>
            <w:r>
              <w:t xml:space="preserve">Skew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D…3</w:t>
            </w:r>
          </w:p>
        </w:tc>
        <w:tc>
          <w:p>
            <w:pPr>
              <w:pStyle w:val="Compact"/>
              <w:jc w:val="left"/>
            </w:pPr>
            <w:r>
              <w:t xml:space="preserve">Shannon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0.5794869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D…4</w:t>
            </w:r>
          </w:p>
        </w:tc>
        <w:tc>
          <w:p>
            <w:pPr>
              <w:pStyle w:val="Compact"/>
              <w:jc w:val="left"/>
            </w:pPr>
            <w:r>
              <w:t xml:space="preserve">Number of rare species</w:t>
            </w:r>
          </w:p>
        </w:tc>
        <w:tc>
          <w:p>
            <w:pPr>
              <w:pStyle w:val="Compact"/>
              <w:jc w:val="right"/>
            </w:pPr>
            <w:r>
              <w:t xml:space="preserve">0.0363636</w:t>
            </w:r>
          </w:p>
        </w:tc>
        <w:tc>
          <w:p>
            <w:pPr>
              <w:pStyle w:val="Compact"/>
              <w:jc w:val="right"/>
            </w:pPr>
            <w:r>
              <w:t xml:space="preserve">0.9812077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D…5</w:t>
            </w:r>
          </w:p>
        </w:tc>
        <w:tc>
          <w:p>
            <w:pPr>
              <w:pStyle w:val="Compact"/>
              <w:jc w:val="left"/>
            </w:pPr>
            <w:r>
              <w:t xml:space="preserve">Dissimilarity to central tendency</w:t>
            </w:r>
          </w:p>
        </w:tc>
        <w:tc>
          <w:p>
            <w:pPr>
              <w:pStyle w:val="Compact"/>
              <w:jc w:val="right"/>
            </w:pPr>
            <w:r>
              <w:t xml:space="preserve">0.0424242</w:t>
            </w:r>
          </w:p>
        </w:tc>
        <w:tc>
          <w:p>
            <w:pPr>
              <w:pStyle w:val="Compact"/>
              <w:jc w:val="right"/>
            </w:pPr>
            <w:r>
              <w:t xml:space="preserve">0.9277987</w:t>
            </w:r>
          </w:p>
        </w:tc>
      </w:tr>
    </w:tbl>
    <w:p>
      <w:pPr>
        <w:pStyle w:val="Heading2"/>
      </w:pPr>
      <w:bookmarkStart w:id="25" w:name="breadth-indices"/>
      <w:r>
        <w:t xml:space="preserve">Breadth indices</w:t>
      </w:r>
      <w:bookmarkEnd w:id="25"/>
    </w:p>
    <w:p>
      <w:pPr>
        <w:pStyle w:val="Heading3"/>
      </w:pPr>
      <w:bookmarkStart w:id="26" w:name="histograms-1"/>
      <w:r>
        <w:t xml:space="preserve">Histograms</w:t>
      </w:r>
      <w:bookmarkEnd w:id="26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9_fia_comparis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k-s-test-results-1"/>
      <w:r>
        <w:t xml:space="preserve">K-S test results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K-S 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D…1</w:t>
            </w:r>
          </w:p>
        </w:tc>
        <w:tc>
          <w:p>
            <w:pPr>
              <w:pStyle w:val="Compact"/>
              <w:jc w:val="left"/>
            </w:pPr>
            <w:r>
              <w:t xml:space="preserve">Simpson</w:t>
            </w:r>
          </w:p>
        </w:tc>
        <w:tc>
          <w:p>
            <w:pPr>
              <w:pStyle w:val="Compact"/>
              <w:jc w:val="right"/>
            </w:pPr>
            <w:r>
              <w:t xml:space="preserve">0.0393939</w:t>
            </w:r>
          </w:p>
        </w:tc>
        <w:tc>
          <w:p>
            <w:pPr>
              <w:pStyle w:val="Compact"/>
              <w:jc w:val="right"/>
            </w:pPr>
            <w:r>
              <w:t xml:space="preserve">0.9599607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D…2</w:t>
            </w:r>
          </w:p>
        </w:tc>
        <w:tc>
          <w:p>
            <w:pPr>
              <w:pStyle w:val="Compact"/>
              <w:jc w:val="left"/>
            </w:pPr>
            <w:r>
              <w:t xml:space="preserve">Skew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D…3</w:t>
            </w:r>
          </w:p>
        </w:tc>
        <w:tc>
          <w:p>
            <w:pPr>
              <w:pStyle w:val="Compact"/>
              <w:jc w:val="left"/>
            </w:pPr>
            <w:r>
              <w:t xml:space="preserve">Shannon</w:t>
            </w:r>
          </w:p>
        </w:tc>
        <w:tc>
          <w:p>
            <w:pPr>
              <w:pStyle w:val="Compact"/>
              <w:jc w:val="right"/>
            </w:pPr>
            <w:r>
              <w:t xml:space="preserve">0.0424242</w:t>
            </w:r>
          </w:p>
        </w:tc>
        <w:tc>
          <w:p>
            <w:pPr>
              <w:pStyle w:val="Compact"/>
              <w:jc w:val="right"/>
            </w:pPr>
            <w:r>
              <w:t xml:space="preserve">0.9277987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D…4</w:t>
            </w:r>
          </w:p>
        </w:tc>
        <w:tc>
          <w:p>
            <w:pPr>
              <w:pStyle w:val="Compact"/>
              <w:jc w:val="left"/>
            </w:pPr>
            <w:r>
              <w:t xml:space="preserve">Number of rare species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0.9930019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D…5</w:t>
            </w:r>
          </w:p>
        </w:tc>
        <w:tc>
          <w:p>
            <w:pPr>
              <w:pStyle w:val="Compact"/>
              <w:jc w:val="left"/>
            </w:pPr>
            <w:r>
              <w:t xml:space="preserve">Dissimilarity to central tendency</w:t>
            </w:r>
          </w:p>
        </w:tc>
        <w:tc>
          <w:p>
            <w:pPr>
              <w:pStyle w:val="Compact"/>
              <w:jc w:val="right"/>
            </w:pPr>
            <w:r>
              <w:t xml:space="preserve">0.0482574</w:t>
            </w:r>
          </w:p>
        </w:tc>
        <w:tc>
          <w:p>
            <w:pPr>
              <w:pStyle w:val="Compact"/>
              <w:jc w:val="right"/>
            </w:pPr>
            <w:r>
              <w:t xml:space="preserve">0.7779001</w:t>
            </w:r>
          </w:p>
        </w:tc>
      </w:tr>
    </w:tbl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FIA and equally-sized communities</dc:title>
  <dc:creator/>
  <cp:keywords/>
  <dcterms:created xsi:type="dcterms:W3CDTF">2021-05-07T18:48:15Z</dcterms:created>
  <dcterms:modified xsi:type="dcterms:W3CDTF">2021-05-07T18:48:15Z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2021-05-07</vt:lpwstr>
  </property>
  <property fmtid="{D5CDD505-2E9C-101B-9397-08002B2CF9AE}" pid="3" name="output">
    <vt:lpwstr/>
  </property>
</Properties>
</file>