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able-1"/>
      <w:r>
        <w:t xml:space="preserve">Table 1</w:t>
      </w:r>
      <w:bookmarkEnd w:id="20"/>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p>
    <w:p>
      <w:pPr>
        <w:pStyle w:val="SourceCode"/>
      </w:pPr>
      <w:r>
        <w:rPr>
          <w:rStyle w:val="VerbatimChar"/>
        </w:rPr>
        <w:t xml:space="preserve">## Joining, by = "Dataset"</w:t>
      </w:r>
    </w:p>
    <w:tbl>
      <w:tblPr>
        <w:tblStyle w:val="Table"/>
        <w:tblW w:type="pct" w:w="5000.0"/>
        <w:tblLook w:firstRow="1"/>
      </w:tblPr>
      <w:tblGrid>
        <w:gridCol w:w="716"/>
        <w:gridCol w:w="2116"/>
        <w:gridCol w:w="1502"/>
        <w:gridCol w:w="2082"/>
        <w:gridCol w:w="1502"/>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right"/>
            </w:pPr>
            <w:r>
              <w:t xml:space="preserve">Proportion of communities with skewness above 95th percentile</w:t>
            </w:r>
          </w:p>
        </w:tc>
        <w:tc>
          <w:tcPr>
            <w:tcBorders>
              <w:bottom w:val="single"/>
            </w:tcBorders>
            <w:vAlign w:val="bottom"/>
          </w:tcPr>
          <w:p>
            <w:pPr>
              <w:pStyle w:val="Compact"/>
              <w:jc w:val="right"/>
            </w:pPr>
            <w:r>
              <w:t xml:space="preserve">Number of communities analyzed for skewness</w:t>
            </w:r>
          </w:p>
        </w:tc>
        <w:tc>
          <w:tcPr>
            <w:tcBorders>
              <w:bottom w:val="single"/>
            </w:tcBorders>
            <w:vAlign w:val="bottom"/>
          </w:tcPr>
          <w:p>
            <w:pPr>
              <w:pStyle w:val="Compact"/>
              <w:jc w:val="right"/>
            </w:pPr>
            <w:r>
              <w:t xml:space="preserve">Proportion of communities with evenness below 5th percentile</w:t>
            </w:r>
          </w:p>
        </w:tc>
        <w:tc>
          <w:tcPr>
            <w:tcBorders>
              <w:bottom w:val="single"/>
            </w:tcBorders>
            <w:vAlign w:val="bottom"/>
          </w:tcPr>
          <w:p>
            <w:pPr>
              <w:pStyle w:val="Compact"/>
              <w:jc w:val="right"/>
            </w:pPr>
            <w:r>
              <w:t xml:space="preserve">Number of communities analyzed for evenness</w:t>
            </w:r>
          </w:p>
        </w:tc>
      </w:tr>
      <w:tr>
        <w:tc>
          <w:p>
            <w:pPr>
              <w:pStyle w:val="Compact"/>
              <w:jc w:val="left"/>
            </w:pPr>
            <w:r>
              <w:t xml:space="preserve">Breeding Bird Survey</w:t>
            </w:r>
          </w:p>
        </w:tc>
        <w:tc>
          <w:p>
            <w:pPr>
              <w:pStyle w:val="Compact"/>
              <w:jc w:val="right"/>
            </w:pPr>
            <w:r>
              <w:t xml:space="preserve">0.1301839</w:t>
            </w:r>
          </w:p>
        </w:tc>
        <w:tc>
          <w:p>
            <w:pPr>
              <w:pStyle w:val="Compact"/>
              <w:jc w:val="right"/>
            </w:pPr>
            <w:r>
              <w:t xml:space="preserve">2773</w:t>
            </w:r>
          </w:p>
        </w:tc>
        <w:tc>
          <w:p>
            <w:pPr>
              <w:pStyle w:val="Compact"/>
              <w:jc w:val="right"/>
            </w:pPr>
            <w:r>
              <w:t xml:space="preserve">0.2596466</w:t>
            </w:r>
          </w:p>
        </w:tc>
        <w:tc>
          <w:p>
            <w:pPr>
              <w:pStyle w:val="Compact"/>
              <w:jc w:val="right"/>
            </w:pPr>
            <w:r>
              <w:t xml:space="preserve">2773</w:t>
            </w:r>
          </w:p>
        </w:tc>
      </w:tr>
      <w:tr>
        <w:tc>
          <w:p>
            <w:pPr>
              <w:pStyle w:val="Compact"/>
              <w:jc w:val="left"/>
            </w:pPr>
            <w:r>
              <w:t xml:space="preserve">FIA</w:t>
            </w:r>
          </w:p>
        </w:tc>
        <w:tc>
          <w:p>
            <w:pPr>
              <w:pStyle w:val="Compact"/>
              <w:jc w:val="right"/>
            </w:pPr>
            <w:r>
              <w:t xml:space="preserve">0.0542077</w:t>
            </w:r>
          </w:p>
        </w:tc>
        <w:tc>
          <w:p>
            <w:pPr>
              <w:pStyle w:val="Compact"/>
              <w:jc w:val="right"/>
            </w:pPr>
            <w:r>
              <w:t xml:space="preserve">18300</w:t>
            </w:r>
          </w:p>
        </w:tc>
        <w:tc>
          <w:p>
            <w:pPr>
              <w:pStyle w:val="Compact"/>
              <w:jc w:val="right"/>
            </w:pPr>
            <w:r>
              <w:t xml:space="preserve">0.0939657</w:t>
            </w:r>
          </w:p>
        </w:tc>
        <w:tc>
          <w:p>
            <w:pPr>
              <w:pStyle w:val="Compact"/>
              <w:jc w:val="right"/>
            </w:pPr>
            <w:r>
              <w:t xml:space="preserve">18113</w:t>
            </w:r>
          </w:p>
        </w:tc>
      </w:tr>
      <w:tr>
        <w:tc>
          <w:p>
            <w:pPr>
              <w:pStyle w:val="Compact"/>
              <w:jc w:val="left"/>
            </w:pPr>
            <w:r>
              <w:t xml:space="preserve">Gentry</w:t>
            </w:r>
          </w:p>
        </w:tc>
        <w:tc>
          <w:p>
            <w:pPr>
              <w:pStyle w:val="Compact"/>
              <w:jc w:val="right"/>
            </w:pPr>
            <w:r>
              <w:t xml:space="preserve">0.1883408</w:t>
            </w:r>
          </w:p>
        </w:tc>
        <w:tc>
          <w:p>
            <w:pPr>
              <w:pStyle w:val="Compact"/>
              <w:jc w:val="right"/>
            </w:pPr>
            <w:r>
              <w:t xml:space="preserve">223</w:t>
            </w:r>
          </w:p>
        </w:tc>
        <w:tc>
          <w:p>
            <w:pPr>
              <w:pStyle w:val="Compact"/>
              <w:jc w:val="right"/>
            </w:pPr>
            <w:r>
              <w:t xml:space="preserve">0.1517857</w:t>
            </w:r>
          </w:p>
        </w:tc>
        <w:tc>
          <w:p>
            <w:pPr>
              <w:pStyle w:val="Compact"/>
              <w:jc w:val="right"/>
            </w:pPr>
            <w:r>
              <w:t xml:space="preserve">224</w:t>
            </w:r>
          </w:p>
        </w:tc>
      </w:tr>
      <w:tr>
        <w:tc>
          <w:p>
            <w:pPr>
              <w:pStyle w:val="Compact"/>
              <w:jc w:val="left"/>
            </w:pPr>
            <w:r>
              <w:t xml:space="preserve">Mammal Communities</w:t>
            </w:r>
          </w:p>
        </w:tc>
        <w:tc>
          <w:p>
            <w:pPr>
              <w:pStyle w:val="Compact"/>
              <w:jc w:val="right"/>
            </w:pPr>
            <w:r>
              <w:t xml:space="preserve">0.1582868</w:t>
            </w:r>
          </w:p>
        </w:tc>
        <w:tc>
          <w:p>
            <w:pPr>
              <w:pStyle w:val="Compact"/>
              <w:jc w:val="right"/>
            </w:pPr>
            <w:r>
              <w:t xml:space="preserve">537</w:t>
            </w:r>
          </w:p>
        </w:tc>
        <w:tc>
          <w:p>
            <w:pPr>
              <w:pStyle w:val="Compact"/>
              <w:jc w:val="right"/>
            </w:pPr>
            <w:r>
              <w:t xml:space="preserve">0.3542435</w:t>
            </w:r>
          </w:p>
        </w:tc>
        <w:tc>
          <w:p>
            <w:pPr>
              <w:pStyle w:val="Compact"/>
              <w:jc w:val="right"/>
            </w:pPr>
            <w:r>
              <w:t xml:space="preserve">542</w:t>
            </w:r>
          </w:p>
        </w:tc>
      </w:tr>
      <w:tr>
        <w:tc>
          <w:p>
            <w:pPr>
              <w:pStyle w:val="Compact"/>
              <w:jc w:val="left"/>
            </w:pPr>
            <w:r>
              <w:t xml:space="preserve">Misc. Abundance</w:t>
            </w:r>
          </w:p>
        </w:tc>
        <w:tc>
          <w:p>
            <w:pPr>
              <w:pStyle w:val="Compact"/>
              <w:jc w:val="right"/>
            </w:pPr>
            <w:r>
              <w:t xml:space="preserve">0.3455285</w:t>
            </w:r>
          </w:p>
        </w:tc>
        <w:tc>
          <w:p>
            <w:pPr>
              <w:pStyle w:val="Compact"/>
              <w:jc w:val="right"/>
            </w:pPr>
            <w:r>
              <w:t xml:space="preserve">492</w:t>
            </w:r>
          </w:p>
        </w:tc>
        <w:tc>
          <w:p>
            <w:pPr>
              <w:pStyle w:val="Compact"/>
              <w:jc w:val="right"/>
            </w:pPr>
            <w:r>
              <w:t xml:space="preserve">0.5959184</w:t>
            </w:r>
          </w:p>
        </w:tc>
        <w:tc>
          <w:p>
            <w:pPr>
              <w:pStyle w:val="Compact"/>
              <w:jc w:val="right"/>
            </w:pPr>
            <w:r>
              <w:t xml:space="preserve">490</w:t>
            </w:r>
          </w:p>
        </w:tc>
      </w:tr>
    </w:tbl>
    <w:p>
      <w:pPr>
        <w:pStyle w:val="BodyText"/>
      </w:pPr>
      <w:r>
        <w:rPr>
          <w:b/>
        </w:rPr>
        <w:t xml:space="preserve">Caption</w:t>
      </w:r>
      <w:r>
        <w:t xml:space="preserve">. Proportion of communities in each dataset with highly skewed or uneven SADs compared to their sampled feasible sets. For most datasets, considerably more communities are extremely skewed and uneven relative to their feasible sets than would be expected by chance: at random, only 5% of communities should fall in these extremes. The FIA database differs from all the others in that no more than 5% of its communities are extremely skewed, and only 9% of its communities are highly uneven.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2021-01-14T20:01:32Z</dcterms:created>
  <dcterms:modified xsi:type="dcterms:W3CDTF">2021-01-14T20:01:32Z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