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17e37c8b53fd9827d93b9a36d2a62626d7db41"/>
      <w:r>
        <w:t xml:space="preserve">Table S6. Proportion of sites with highly skewed or uneven SADs for a subset of FIA communities compared to matching communities from other datasets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>
      <w:tblPr>
        <w:tblStyle w:val="Table"/>
        <w:tblW w:type="pct" w:w="4999.999999999999"/>
        <w:tblLook w:firstRow="1"/>
      </w:tblPr>
      <w:tblGrid>
        <w:gridCol w:w="525"/>
        <w:gridCol w:w="2172"/>
        <w:gridCol w:w="2137"/>
        <w:gridCol w:w="1541"/>
        <w:gridCol w:w="15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communities with skewness above 95th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communities with evenness below 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communities analyzed for 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communities analyzed for evenness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0.0808625</w:t>
            </w:r>
          </w:p>
        </w:tc>
        <w:tc>
          <w:p>
            <w:pPr>
              <w:pStyle w:val="Compact"/>
              <w:jc w:val="right"/>
            </w:pPr>
            <w:r>
              <w:t xml:space="preserve">0.1890411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datasets</w:t>
            </w:r>
          </w:p>
        </w:tc>
        <w:tc>
          <w:p>
            <w:pPr>
              <w:pStyle w:val="Compact"/>
              <w:jc w:val="right"/>
            </w:pPr>
            <w:r>
              <w:t xml:space="preserve">0.0835580</w:t>
            </w:r>
          </w:p>
        </w:tc>
        <w:tc>
          <w:p>
            <w:pPr>
              <w:pStyle w:val="Compact"/>
              <w:jc w:val="right"/>
            </w:pPr>
            <w:r>
              <w:t xml:space="preserve">0.2082192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2020-12-17T20:45:58Z</dcterms:created>
  <dcterms:modified xsi:type="dcterms:W3CDTF">2020-12-17T20:45:58Z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