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S3</w:t>
      </w:r>
      <w:r>
        <w:t xml:space="preserve"> </w:t>
      </w:r>
      <w:r>
        <w:t xml:space="preserve">-</w:t>
      </w:r>
      <w:r>
        <w:t xml:space="preserve"> </w:t>
      </w:r>
      <w:r>
        <w:t xml:space="preserve">Biomass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This is a modified subset of Appendix S3 from the article</w:t>
      </w:r>
      <w:r>
        <w:t xml:space="preserve"> </w:t>
      </w:r>
      <w:r>
        <w:t xml:space="preserve">“</w:t>
      </w:r>
      <w:r>
        <w:t xml:space="preserve">Maintenance of community function through compensation breaks down over time in a desert rodent community</w:t>
      </w:r>
      <w:r>
        <w:t xml:space="preserve">”</w:t>
      </w:r>
      <w:r>
        <w:t xml:space="preserve"> </w:t>
      </w:r>
      <w:r>
        <w:t xml:space="preserve">by Renata Diaz and S. K. Morgan Ernest, now published in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(Diaz and Ernest 2022)</w:t>
      </w:r>
      <w:r>
        <w:t xml:space="preserve">.</w:t>
      </w:r>
    </w:p>
    <w:bookmarkEnd w:id="20"/>
    <w:bookmarkStart w:id="21" w:name="compensation"/>
    <w:p>
      <w:pPr>
        <w:pStyle w:val="Heading1"/>
      </w:pPr>
      <w:r>
        <w:t xml:space="preserve">Compensation</w:t>
      </w:r>
    </w:p>
    <w:p>
      <w:pPr>
        <w:pStyle w:val="FirstParagraph"/>
      </w:pPr>
      <w:r>
        <w:t xml:space="preserve">Compensation refers to the degree to which the remaining species on kangaroo rat removal plots absorb resources made available via kangaroo rat removal (</w:t>
      </w:r>
      <w:hyperlink w:anchor="fig-plot">
        <w:r>
          <w:rPr>
            <w:rStyle w:val="Hyperlink"/>
          </w:rPr>
          <w:t xml:space="preserve">Figure 1</w:t>
        </w:r>
      </w:hyperlink>
      <w:r>
        <w:t xml:space="preserve">).</w:t>
      </w:r>
      <w:r>
        <w:t xml:space="preserve"> </w:t>
      </w:r>
      <w:r>
        <w:t xml:space="preserve">We fit a generalized least squares (of the form</w:t>
      </w:r>
      <w:r>
        <w:t xml:space="preserve"> </w:t>
      </w:r>
      <w:r>
        <w:rPr>
          <w:iCs/>
          <w:i/>
        </w:rPr>
        <w:t xml:space="preserve">compensation ~ timeperiod</w:t>
      </w:r>
      <w:r>
        <w:t xml:space="preserve">; note that</w:t>
      </w:r>
      <w:r>
        <w:t xml:space="preserve"> </w:t>
      </w:r>
      <w:r>
        <w:t xml:space="preserve">“</w:t>
      </w:r>
      <w:r>
        <w:t xml:space="preserve">timeperiod</w:t>
      </w:r>
      <w:r>
        <w:t xml:space="preserve">”</w:t>
      </w:r>
      <w:r>
        <w:t xml:space="preserve"> </w:t>
      </w:r>
      <w:r>
        <w:t xml:space="preserve">is coded as</w:t>
      </w:r>
      <w:r>
        <w:t xml:space="preserve"> </w:t>
      </w:r>
      <w:r>
        <w:t xml:space="preserve">“</w:t>
      </w:r>
      <w:r>
        <w:t xml:space="preserve">oera</w:t>
      </w:r>
      <w:r>
        <w:t xml:space="preserve">”</w:t>
      </w:r>
      <w:r>
        <w:t xml:space="preserve"> </w:t>
      </w:r>
      <w:r>
        <w:t xml:space="preserve">throughout) using the</w:t>
      </w:r>
      <w:r>
        <w:t xml:space="preserve"> </w:t>
      </w:r>
      <w:r>
        <w:rPr>
          <w:rStyle w:val="VerbatimChar"/>
        </w:rPr>
        <w:t xml:space="preserve">gls</w:t>
      </w:r>
      <w:r>
        <w:t xml:space="preserve"> </w:t>
      </w:r>
      <w:r>
        <w:t xml:space="preserve">function from the R package</w:t>
      </w:r>
      <w:r>
        <w:t xml:space="preserve"> </w:t>
      </w:r>
      <w:r>
        <w:rPr>
          <w:rStyle w:val="VerbatimChar"/>
        </w:rPr>
        <w:t xml:space="preserve">nlme</w:t>
      </w:r>
      <w:r>
        <w:t xml:space="preserve"> </w:t>
      </w:r>
      <w:r>
        <w:t xml:space="preserve">(Pinheiro, Bates, and R Core Team 2023)</w:t>
      </w:r>
      <w:r>
        <w:t xml:space="preserve">.</w:t>
      </w:r>
      <w:r>
        <w:t xml:space="preserve"> </w:t>
      </w:r>
      <w:r>
        <w:t xml:space="preserve">Because values from monthly censuses within each time period are subject to temporal autocorrelation, we included a continuous autoregressive temporal autocorrelation structure of order 1 (using the</w:t>
      </w:r>
      <w:r>
        <w:t xml:space="preserve"> </w:t>
      </w:r>
      <w:r>
        <w:rPr>
          <w:rStyle w:val="VerbatimChar"/>
        </w:rPr>
        <w:t xml:space="preserve">CORCAR1</w:t>
      </w:r>
      <w:r>
        <w:t xml:space="preserve"> </w:t>
      </w:r>
      <w:r>
        <w:t xml:space="preserve">function).</w:t>
      </w:r>
      <w:r>
        <w:t xml:space="preserve"> </w:t>
      </w:r>
      <w:r>
        <w:t xml:space="preserve">We compared this model to models fit without the autocorrelation structure and without the time period term using AIC.</w:t>
      </w:r>
      <w:r>
        <w:t xml:space="preserve"> </w:t>
      </w:r>
      <w:r>
        <w:t xml:space="preserve">The model with both the time period term and the autocorrelation structure was the best-fitting model via AIC (</w:t>
      </w:r>
      <w:hyperlink w:anchor="tbl-comp">
        <w:r>
          <w:rPr>
            <w:rStyle w:val="Hyperlink"/>
          </w:rPr>
          <w:t xml:space="preserve">Table 1</w:t>
        </w:r>
      </w:hyperlink>
      <w:r>
        <w:t xml:space="preserve">), and we used this model to calculate estimates and contrasts using the package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(Lenth et al. 2023)</w:t>
      </w:r>
      <w:r>
        <w:t xml:space="preserve"> </w:t>
      </w:r>
      <w:r>
        <w:t xml:space="preserve">(</w:t>
      </w:r>
      <w:hyperlink w:anchor="tbl-ests">
        <w:r>
          <w:rPr>
            <w:rStyle w:val="Hyperlink"/>
          </w:rPr>
          <w:t xml:space="preserve">Table 2</w:t>
        </w:r>
      </w:hyperlink>
      <w:r>
        <w:t xml:space="preserve">,</w:t>
      </w:r>
      <w:r>
        <w:t xml:space="preserve"> </w:t>
      </w:r>
      <w:hyperlink w:anchor="tbl-contrasts">
        <w:r>
          <w:rPr>
            <w:rStyle w:val="Hyperlink"/>
          </w:rPr>
          <w:t xml:space="preserve">Table 3</w:t>
        </w:r>
      </w:hyperlink>
      <w:r>
        <w:t xml:space="preserve">).</w:t>
      </w:r>
    </w:p>
    <w:bookmarkEnd w:id="21"/>
    <w:bookmarkStart w:id="24" w:name="data-analysis"/>
    <w:p>
      <w:pPr>
        <w:pStyle w:val="Heading1"/>
      </w:pPr>
      <w:r>
        <w:t xml:space="preserve">Data analysis</w:t>
      </w:r>
    </w:p>
    <w:bookmarkStart w:id="22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The following code downloads the data and prepares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data frame for analysis.</w:t>
      </w:r>
    </w:p>
    <w:p>
      <w:pPr>
        <w:pStyle w:val="BodyText"/>
      </w:pPr>
      <w:r>
        <w:t xml:space="preserve">If needed, install the</w:t>
      </w:r>
      <w:r>
        <w:t xml:space="preserve"> </w:t>
      </w:r>
      <w:r>
        <w:rPr>
          <w:rStyle w:val="VerbatimChar"/>
        </w:rPr>
        <w:t xml:space="preserve">soar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'diazrenata/soar'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 can be downloaded directly from the Portal data repository:</w:t>
      </w:r>
    </w:p>
    <w:p>
      <w:pPr>
        <w:pStyle w:val="SourceCode"/>
      </w:pPr>
      <w:r>
        <w:rPr>
          <w:rStyle w:val="NormalTok"/>
        </w:rPr>
        <w:t xml:space="preserve">plotl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get_plot_totals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currency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in data version 3.118.0</w:t>
      </w:r>
    </w:p>
    <w:p>
      <w:pPr>
        <w:pStyle w:val="SourceCode"/>
      </w:pPr>
      <w:r>
        <w:rPr>
          <w:rStyle w:val="VerbatimChar"/>
        </w:rPr>
        <w:t xml:space="preserve">Joining with `by = join_by(plot)`</w:t>
      </w:r>
    </w:p>
    <w:p>
      <w:pPr>
        <w:pStyle w:val="SourceCode"/>
      </w:pPr>
      <w:r>
        <w:rPr>
          <w:rStyle w:val="NormalTok"/>
        </w:rPr>
        <w:t xml:space="preserve">plot_types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list_plot_types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in data version 3.118.0</w:t>
      </w:r>
      <w:r>
        <w:br/>
      </w:r>
      <w:r>
        <w:rPr>
          <w:rStyle w:val="VerbatimChar"/>
        </w:rPr>
        <w:t xml:space="preserve">Joining with `by = join_by(plot)`</w:t>
      </w:r>
    </w:p>
    <w:p>
      <w:pPr>
        <w:pStyle w:val="FirstParagraph"/>
      </w:pPr>
      <w:r>
        <w:t xml:space="preserve">For interpretability, translating the era and treatment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 </w:t>
      </w:r>
      <w:r>
        <w:t xml:space="preserve">as RMD coded them for analysis to the corresponding dates:</w:t>
      </w:r>
    </w:p>
    <w:p>
      <w:pPr>
        <w:pStyle w:val="SourceCode"/>
      </w:pPr>
      <w:r>
        <w:rPr>
          <w:rStyle w:val="NormalTok"/>
        </w:rPr>
        <w:t xml:space="preserve">oera_df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oera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"a_pre_pb"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"b_pre_reorg"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"c_post_reorg"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Timeperiod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"1988-1997"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"1997-2010"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"2010-2020"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oplot_df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oplottype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Treatment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"Exclosure"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contrasts_df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"a_pre_pb - b_pre_reorg"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"a_pre_pb - c_post_reorg"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"b_pre_reorg - c_post_reorg"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"1988-1997 - 1997-2010"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"1988-1997 - 2010-2020"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"1997-2010 - 2010-2020"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Because there are 5 exclosure plots and 4 control plots in these data, we remove 1 exclosure plot to achieve a balanced design.</w:t>
      </w:r>
      <w:r>
        <w:t xml:space="preserve"> </w:t>
      </w:r>
      <w:r>
        <w:t xml:space="preserve">From the 5 possible exclosures to remove, we randomly select 1 using the seed 1977 (the year the Portal Project was initiated).</w:t>
      </w:r>
    </w:p>
    <w:p>
      <w:pPr>
        <w:pStyle w:val="SourceCode"/>
      </w:pPr>
      <w:r>
        <w:rPr>
          <w:rStyle w:val="NormalTok"/>
        </w:rPr>
        <w:t xml:space="preserve">plot_types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plot_types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remove_plot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(plot_types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F) </w:t>
      </w:r>
      <w:r>
        <w:rPr>
          <w:rStyle w:val="CommentTok"/>
        </w:rPr>
        <w:t xml:space="preserve"># results in removing plot 19</w:t>
      </w:r>
      <w:r>
        <w:br/>
      </w:r>
      <w:r>
        <w:br/>
      </w:r>
      <w:r>
        <w:rPr>
          <w:rStyle w:val="NormalTok"/>
        </w:rPr>
        <w:t xml:space="preserve">plotl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remove_plot)</w:t>
      </w:r>
    </w:p>
    <w:p>
      <w:pPr>
        <w:pStyle w:val="FirstParagraph"/>
      </w:pPr>
      <w:r>
        <w:t xml:space="preserve">Finally, take treatment-level means and calculate the compensation variable:</w:t>
      </w:r>
    </w:p>
    <w:p>
      <w:pPr>
        <w:pStyle w:val="SourceCode"/>
      </w:pPr>
      <w:r>
        <w:rPr>
          <w:rStyle w:val="CommentTok"/>
        </w:rPr>
        <w:t xml:space="preserve"># Treatment-level means:</w:t>
      </w:r>
      <w:r>
        <w:br/>
      </w:r>
      <w:r>
        <w:rPr>
          <w:rStyle w:val="NormalTok"/>
        </w:rPr>
        <w:t xml:space="preserve">treatl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plots_to_treatment_means</w:t>
      </w:r>
      <w:r>
        <w:rPr>
          <w:rStyle w:val="NormalTok"/>
        </w:rPr>
        <w:t xml:space="preserve">(plotl) </w:t>
      </w:r>
      <w:r>
        <w:br/>
      </w:r>
      <w:r>
        <w:br/>
      </w:r>
      <w:r>
        <w:rPr>
          <w:rStyle w:val="CommentTok"/>
        </w:rPr>
        <w:t xml:space="preserve"># Format column types</w:t>
      </w:r>
      <w:r>
        <w:br/>
      </w:r>
      <w:r>
        <w:rPr>
          <w:rStyle w:val="NormalTok"/>
        </w:rPr>
        <w:t xml:space="preserve">treatl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treatl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censusdate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(censusdate),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oera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(oera),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oplottype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(oplottype))</w:t>
      </w:r>
      <w:r>
        <w:br/>
      </w:r>
      <w:r>
        <w:br/>
      </w:r>
      <w:r>
        <w:rPr>
          <w:rStyle w:val="NormalTok"/>
        </w:rPr>
        <w:t xml:space="preserve">compensation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get_compensation</w:t>
      </w:r>
      <w:r>
        <w:rPr>
          <w:rStyle w:val="NormalTok"/>
        </w:rPr>
        <w:t xml:space="preserve">(treatl)</w:t>
      </w:r>
    </w:p>
    <w:p>
      <w:pPr>
        <w:pStyle w:val="SourceCode"/>
      </w:pPr>
      <w:r>
        <w:rPr>
          <w:rStyle w:val="VerbatimChar"/>
        </w:rPr>
        <w:t xml:space="preserve">Joining with `by = join_by(period)`</w:t>
      </w:r>
    </w:p>
    <w:bookmarkEnd w:id="22"/>
    <w:bookmarkStart w:id="23" w:name="gls-model"/>
    <w:p>
      <w:pPr>
        <w:pStyle w:val="Heading2"/>
      </w:pPr>
      <w:r>
        <w:t xml:space="preserve">GLS model</w:t>
      </w:r>
    </w:p>
    <w:p>
      <w:pPr>
        <w:pStyle w:val="FirstParagraph"/>
      </w:pPr>
      <w:r>
        <w:t xml:space="preserve">The following code fits the GLS models:</w:t>
      </w:r>
    </w:p>
    <w:p>
      <w:pPr>
        <w:pStyle w:val="SourceCode"/>
      </w:pPr>
      <w:r>
        <w:rPr>
          <w:rStyle w:val="NormalTok"/>
        </w:rPr>
        <w:t xml:space="preserve">comp_mean_gls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oera,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compensation)</w:t>
      </w:r>
      <w:r>
        <w:br/>
      </w:r>
      <w:r>
        <w:br/>
      </w:r>
      <w:r>
        <w:rPr>
          <w:rStyle w:val="NormalTok"/>
        </w:rPr>
        <w:t xml:space="preserve">comp_mean_gls_notime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compensation)</w:t>
      </w:r>
      <w:r>
        <w:br/>
      </w:r>
      <w:r>
        <w:br/>
      </w:r>
      <w:r>
        <w:rPr>
          <w:rStyle w:val="NormalTok"/>
        </w:rPr>
        <w:t xml:space="preserve">comp_mean_gls_noautoc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oera,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compensation)</w:t>
      </w:r>
      <w:r>
        <w:br/>
      </w:r>
      <w:r>
        <w:br/>
      </w:r>
      <w:r>
        <w:rPr>
          <w:rStyle w:val="NormalTok"/>
        </w:rPr>
        <w:t xml:space="preserve">comp_mean_null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compensation)</w:t>
      </w:r>
    </w:p>
    <w:p>
      <w:pPr>
        <w:pStyle w:val="FirstParagraph"/>
      </w:pPr>
      <w:r>
        <w:t xml:space="preserve">Model comparison via AIC:</w:t>
      </w:r>
    </w:p>
    <w:p>
      <w:pPr>
        <w:pStyle w:val="SourceCode"/>
      </w:pPr>
      <w:r>
        <w:rPr>
          <w:rStyle w:val="NormalTok"/>
        </w:rPr>
        <w:t xml:space="preserve">compensation_comparison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Model specification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"intercept + timeperiod + autocorrelation"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"intercept + autocorrelation"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"intercept + timeperiod"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"intercept"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(comp_mean_gls),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(comp_mean_gls_notime),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(comp_mean_gls_noautoc),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(comp_mean_null)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estimates:</w:t>
      </w:r>
    </w:p>
    <w:p>
      <w:pPr>
        <w:pStyle w:val="SourceCode"/>
      </w:pPr>
      <w:r>
        <w:rPr>
          <w:rStyle w:val="NormalTok"/>
        </w:rPr>
        <w:t xml:space="preserve">comp_mean_gls_emmeans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(comp_mean_gls,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oera)</w:t>
      </w:r>
      <w:r>
        <w:br/>
      </w:r>
      <w:r>
        <w:br/>
      </w:r>
      <w:r>
        <w:rPr>
          <w:rStyle w:val="NormalTok"/>
        </w:rPr>
        <w:t xml:space="preserve">compensation_estimates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oera_df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(comp_mean_gls_emmeans))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oera)</w:t>
      </w:r>
    </w:p>
    <w:p>
      <w:pPr>
        <w:pStyle w:val="SourceCode"/>
      </w:pPr>
      <w:r>
        <w:rPr>
          <w:rStyle w:val="VerbatimChar"/>
        </w:rPr>
        <w:t xml:space="preserve">Joining with `by = join_by(oera)`</w:t>
      </w:r>
    </w:p>
    <w:p>
      <w:pPr>
        <w:pStyle w:val="FirstParagraph"/>
      </w:pPr>
      <w:r>
        <w:t xml:space="preserve">Calculate contrasts:</w:t>
      </w:r>
    </w:p>
    <w:p>
      <w:pPr>
        <w:pStyle w:val="SourceCode"/>
      </w:pPr>
      <w:r>
        <w:rPr>
          <w:rStyle w:val="NormalTok"/>
        </w:rPr>
        <w:t xml:space="preserve">compensation_contrasts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contrasts_df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(comp_mean_gls_emmeans)))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contrast)</w:t>
      </w:r>
    </w:p>
    <w:p>
      <w:pPr>
        <w:pStyle w:val="SourceCode"/>
      </w:pPr>
      <w:r>
        <w:rPr>
          <w:rStyle w:val="VerbatimChar"/>
        </w:rPr>
        <w:t xml:space="preserve">Joining with `by = join_by(contrast)`</w:t>
      </w:r>
    </w:p>
    <w:bookmarkEnd w:id="23"/>
    <w:bookmarkEnd w:id="24"/>
    <w:bookmarkStart w:id="34" w:name="results"/>
    <w:p>
      <w:pPr>
        <w:pStyle w:val="Heading1"/>
      </w:pPr>
      <w:r>
        <w:t xml:space="preserve">Results</w:t>
      </w:r>
    </w:p>
    <w:bookmarkStart w:id="28" w:name="tables"/>
    <w:p>
      <w:pPr>
        <w:pStyle w:val="Heading2"/>
      </w:pPr>
      <w:r>
        <w:t xml:space="preserve">Tables</w:t>
      </w:r>
    </w:p>
    <w:bookmarkStart w:id="25" w:name="tbl-comp"/>
    <w:p>
      <w:pPr>
        <w:pStyle w:val="TableCaption"/>
      </w:pPr>
      <w:r>
        <w:t xml:space="preserve">Table 1: Comparisons for GLS on compensation.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Comparisons for GLS on compensation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Model.specification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+ timeperiod + autocorrelation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-17.623354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+ autocorrelation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-3.297103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+ timeperiod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92.184205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207.804481</w:t>
            </w:r>
          </w:p>
        </w:tc>
      </w:tr>
    </w:tbl>
    <w:bookmarkEnd w:id="25"/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(compensation_estimates)</w:t>
      </w:r>
    </w:p>
    <w:bookmarkStart w:id="26" w:name="tbl-ests"/>
    <w:p>
      <w:pPr>
        <w:pStyle w:val="TableCaption"/>
      </w:pPr>
      <w:r>
        <w:t xml:space="preserve">Table 2: Estimates for GLS on compensation.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Estimates for GLS on compensation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Timeperiod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1988-1997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0.1435663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39.27016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0.2469878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1997-2010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0.5366915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41.90192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0.4453176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0.6280655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0.2441751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41.16587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0.1397362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0.3486140</w:t>
            </w:r>
          </w:p>
        </w:tc>
      </w:tr>
    </w:tbl>
    <w:bookmarkEnd w:id="26"/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(compensation_contrasts)</w:t>
      </w:r>
    </w:p>
    <w:bookmarkStart w:id="27" w:name="tbl-contrasts"/>
    <w:p>
      <w:pPr>
        <w:pStyle w:val="TableCaption"/>
      </w:pPr>
      <w:r>
        <w:t xml:space="preserve">Table 3: Contrasts for GLS on compensation.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3: Contrasts for GLS on compensation."/>
      </w:tblPr>
      <w:tblGrid>
        <w:gridCol w:w="2489"/>
        <w:gridCol w:w="1244"/>
        <w:gridCol w:w="1131"/>
        <w:gridCol w:w="1018"/>
        <w:gridCol w:w="1131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1988-1997 - 1997-2010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-0.3931253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0.0673811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-5.834358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1988-1997 - 2010-2020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-0.1006089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0.0727090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40.35555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-1.383719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1997-2010 - 2010-2020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0.2925164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0.0678003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44.41615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</w:t>
            </w:r>
          </w:p>
        </w:tc>
      </w:tr>
    </w:tbl>
    <w:bookmarkEnd w:id="27"/>
    <w:p>
      <w:r>
        <w:br w:type="page"/>
      </w:r>
    </w:p>
    <w:bookmarkEnd w:id="28"/>
    <w:bookmarkStart w:id="33" w:name="figures"/>
    <w:p>
      <w:pPr>
        <w:pStyle w:val="Heading2"/>
      </w:pPr>
      <w:r>
        <w:t xml:space="preserve">Figures</w:t>
      </w:r>
    </w:p>
    <w:p>
      <w:pPr>
        <w:pStyle w:val="SourceCode"/>
      </w:pPr>
      <w:r>
        <w:rPr>
          <w:rStyle w:val="VerbatimChar"/>
        </w:rPr>
        <w:t xml:space="preserve">Loading in data version 3.118.0</w:t>
      </w:r>
    </w:p>
    <w:p>
      <w:pPr>
        <w:pStyle w:val="SourceCode"/>
      </w:pPr>
      <w:r>
        <w:rPr>
          <w:rStyle w:val="VerbatimChar"/>
        </w:rPr>
        <w:t xml:space="preserve">Joining with `by = join_by(plot)`</w:t>
      </w:r>
      <w:r>
        <w:br/>
      </w:r>
      <w:r>
        <w:rPr>
          <w:rStyle w:val="VerbatimChar"/>
        </w:rPr>
        <w:t xml:space="preserve">Joining with `by = join_by(oera)`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plot"/>
          <w:p>
            <w:pPr>
              <w:jc w:val="center"/>
            </w:pPr>
            <w:r>
              <w:drawing>
                <wp:inline>
                  <wp:extent cx="4876800" cy="2438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s3_biomass_as_quarto_files/figure-docx/fig-plo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Dynamics of biomass and rodent community composition over time. Lines represent the 6-month moving averages of biomass compensation. Dotted vertical lines mark the boundaries between time periods used for statistical analysis. Horizontal lines are time-period estimates from generalized least squares models, and the semitransparent envelopes mark the 95% confidence or credible intervals.</w:t>
            </w:r>
          </w:p>
          <w:bookmarkEnd w:id="32"/>
        </w:tc>
      </w:tr>
    </w:tbl>
    <w:p>
      <w:r>
        <w:br w:type="page"/>
      </w:r>
    </w:p>
    <w:bookmarkEnd w:id="33"/>
    <w:bookmarkEnd w:id="34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36" w:name="ref-diaz2022"/>
    <w:p>
      <w:pPr>
        <w:pStyle w:val="Bibliography"/>
      </w:pPr>
      <w:r>
        <w:t xml:space="preserve">Diaz, Renata M., and S. K. Morgan Ernest. 2022.</w:t>
      </w:r>
      <w:r>
        <w:t xml:space="preserve"> </w:t>
      </w:r>
      <w:r>
        <w:t xml:space="preserve">“Maintenance of Community Function Through Compensation Breaks down over Time in a Desert Rodent Community.”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103 (7): e3709.</w:t>
      </w:r>
      <w:r>
        <w:t xml:space="preserve"> </w:t>
      </w:r>
      <w:hyperlink r:id="rId35">
        <w:r>
          <w:rPr>
            <w:rStyle w:val="Hyperlink"/>
          </w:rPr>
          <w:t xml:space="preserve">https://doi.org/10.1002/ecy.3709</w:t>
        </w:r>
      </w:hyperlink>
      <w:r>
        <w:t xml:space="preserve">.</w:t>
      </w:r>
    </w:p>
    <w:bookmarkEnd w:id="36"/>
    <w:bookmarkStart w:id="37" w:name="ref-lenth2023"/>
    <w:p>
      <w:pPr>
        <w:pStyle w:val="Bibliography"/>
      </w:pPr>
      <w:r>
        <w:t xml:space="preserve">Lenth, Russell V., Ben Bolker, Paul Buerkner, Iago Giné-Vázquez, Maxime Herve, Maarten Jung, Jonathon Love, Fernando Miguez, Hannes Riebl, and Henrik Singmann. 2023.</w:t>
      </w:r>
      <w:r>
        <w:t xml:space="preserve"> </w:t>
      </w:r>
      <w:r>
        <w:t xml:space="preserve">“Emmeans:</w:t>
      </w:r>
      <w:r>
        <w:t xml:space="preserve"> </w:t>
      </w:r>
      <w:r>
        <w:t xml:space="preserve">Estimated Marginal Means</w:t>
      </w:r>
      <w:r>
        <w:t xml:space="preserve">, Aka</w:t>
      </w:r>
      <w:r>
        <w:t xml:space="preserve"> </w:t>
      </w:r>
      <w:r>
        <w:t xml:space="preserve">Least-Squares Means</w:t>
      </w:r>
      <w:r>
        <w:t xml:space="preserve">.”</w:t>
      </w:r>
    </w:p>
    <w:bookmarkEnd w:id="37"/>
    <w:bookmarkStart w:id="38" w:name="ref-pinheiro2023"/>
    <w:p>
      <w:pPr>
        <w:pStyle w:val="Bibliography"/>
      </w:pPr>
      <w:r>
        <w:t xml:space="preserve">Pinheiro, José, Douglas Bates, and R Core Team. 2023.</w:t>
      </w:r>
      <w:r>
        <w:t xml:space="preserve"> </w:t>
      </w:r>
      <w:r>
        <w:rPr>
          <w:iCs/>
          <w:i/>
        </w:rPr>
        <w:t xml:space="preserve">Nlme:</w:t>
      </w:r>
      <w:r>
        <w:rPr>
          <w:iCs/>
          <w:i/>
        </w:rPr>
        <w:t xml:space="preserve"> </w:t>
      </w:r>
      <w:r>
        <w:rPr>
          <w:iCs/>
          <w:i/>
        </w:rPr>
        <w:t xml:space="preserve">Linear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Nonlinear Mixed Effects Models</w:t>
      </w:r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5" Target="https://doi.org/10.1002/ecy.37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cy.37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S3 - Biomass analysis</dc:title>
  <dc:creator>Renata Diaz</dc:creator>
  <cp:keywords/>
  <dcterms:created xsi:type="dcterms:W3CDTF">2023-12-06T14:43:44Z</dcterms:created>
  <dcterms:modified xsi:type="dcterms:W3CDTF">2023-12-06T14:43:44Z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