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S1</w:t>
      </w:r>
      <w:r>
        <w:t xml:space="preserve"> </w:t>
      </w:r>
      <w:r>
        <w:t xml:space="preserve">-</w:t>
      </w:r>
      <w:r>
        <w:t xml:space="preserve"> </w:t>
      </w:r>
      <w:r>
        <w:t xml:space="preserve">Full</w:t>
      </w:r>
      <w:r>
        <w:t xml:space="preserve"> </w:t>
      </w:r>
      <w:r>
        <w:t xml:space="preserve">model</w:t>
      </w:r>
      <w:r>
        <w:t xml:space="preserve"> </w:t>
      </w:r>
      <w:r>
        <w:t xml:space="preserve">results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Loading in data version 3.25.0</w:t>
      </w:r>
    </w:p>
    <w:p>
      <w:pPr>
        <w:pStyle w:val="SourceCode"/>
      </w:pPr>
      <w:r>
        <w:rPr>
          <w:rStyle w:val="VerbatimChar"/>
        </w:rPr>
        <w:t xml:space="preserve">## Joining, by = "plot"</w:t>
      </w:r>
    </w:p>
    <w:p>
      <w:pPr>
        <w:pStyle w:val="SourceCode"/>
      </w:pPr>
      <w:r>
        <w:rPr>
          <w:rStyle w:val="VerbatimChar"/>
        </w:rPr>
        <w:t xml:space="preserve">## Loading in data version 3.25.0</w:t>
      </w:r>
    </w:p>
    <w:p>
      <w:pPr>
        <w:pStyle w:val="SourceCode"/>
      </w:pPr>
      <w:r>
        <w:rPr>
          <w:rStyle w:val="VerbatimChar"/>
        </w:rPr>
        <w:t xml:space="preserve">## Joining, by = "plot"</w:t>
      </w:r>
    </w:p>
    <w:p>
      <w:pPr>
        <w:pStyle w:val="SourceCode"/>
      </w:pPr>
      <w:r>
        <w:rPr>
          <w:rStyle w:val="VerbatimChar"/>
        </w:rPr>
        <w:t xml:space="preserve">## Joining, by = "period"</w:t>
      </w:r>
      <w:r>
        <w:br/>
      </w:r>
      <w:r>
        <w:rPr>
          <w:rStyle w:val="VerbatimChar"/>
        </w:rPr>
        <w:t xml:space="preserve">## Joining, by = "period"</w:t>
      </w:r>
    </w:p>
    <w:p>
      <w:pPr>
        <w:pStyle w:val="Heading1"/>
      </w:pPr>
      <w:bookmarkStart w:id="20" w:name="compensation-total-energy-use"/>
      <w:r>
        <w:t xml:space="preserve">Compensation &amp; total energy use</w:t>
      </w:r>
      <w:bookmarkEnd w:id="20"/>
    </w:p>
    <w:p>
      <w:pPr>
        <w:pStyle w:val="Heading2"/>
      </w:pPr>
      <w:bookmarkStart w:id="21" w:name="compensation"/>
      <w:r>
        <w:t xml:space="preserve">Compensation</w:t>
      </w:r>
      <w:bookmarkEnd w:id="21"/>
    </w:p>
    <w:p>
      <w:pPr>
        <w:pStyle w:val="SourceCode"/>
      </w:pPr>
      <w:r>
        <w:rPr>
          <w:rStyle w:val="VerbatimChar"/>
        </w:rPr>
        <w:t xml:space="preserve">## Joining, by = "oera"</w:t>
      </w:r>
    </w:p>
    <w:p>
      <w:pPr>
        <w:pStyle w:val="Heading3"/>
      </w:pPr>
      <w:bookmarkStart w:id="22" w:name="X65efa2da1bfa2895dca61e838ed9a29f9420902"/>
      <w:r>
        <w:t xml:space="preserve">Table S1. Coefficients from GLS for compensation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0.3450313</w:t>
            </w:r>
          </w:p>
        </w:tc>
        <w:tc>
          <w:p>
            <w:pPr>
              <w:pStyle w:val="Compact"/>
              <w:jc w:val="right"/>
            </w:pPr>
            <w:r>
              <w:t xml:space="preserve">0.0294996</w:t>
            </w:r>
          </w:p>
        </w:tc>
        <w:tc>
          <w:p>
            <w:pPr>
              <w:pStyle w:val="Compact"/>
              <w:jc w:val="right"/>
            </w:pPr>
            <w:r>
              <w:t xml:space="preserve">11.696141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0.0647933</w:t>
            </w:r>
          </w:p>
        </w:tc>
        <w:tc>
          <w:p>
            <w:pPr>
              <w:pStyle w:val="Compact"/>
              <w:jc w:val="right"/>
            </w:pPr>
            <w:r>
              <w:t xml:space="preserve">0.0524103</w:t>
            </w:r>
          </w:p>
        </w:tc>
        <w:tc>
          <w:p>
            <w:pPr>
              <w:pStyle w:val="Compact"/>
              <w:jc w:val="right"/>
            </w:pPr>
            <w:r>
              <w:t xml:space="preserve">1.236269</w:t>
            </w:r>
          </w:p>
        </w:tc>
        <w:tc>
          <w:p>
            <w:pPr>
              <w:pStyle w:val="Compact"/>
              <w:jc w:val="right"/>
            </w:pPr>
            <w:r>
              <w:t xml:space="preserve">0.2172146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-0.2833553</w:t>
            </w:r>
          </w:p>
        </w:tc>
        <w:tc>
          <w:p>
            <w:pPr>
              <w:pStyle w:val="Compact"/>
              <w:jc w:val="right"/>
            </w:pPr>
            <w:r>
              <w:t xml:space="preserve">0.0477359</w:t>
            </w:r>
          </w:p>
        </w:tc>
        <w:tc>
          <w:p>
            <w:pPr>
              <w:pStyle w:val="Compact"/>
              <w:jc w:val="right"/>
            </w:pPr>
            <w:r>
              <w:t xml:space="preserve">-5.935890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3" w:name="X4eec479fd7c5d92444953f22f8f2adb7b89ab6b"/>
      <w:r>
        <w:t xml:space="preserve">Table S2. Estimates from GLS for compensation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0.1835362</w:t>
            </w:r>
          </w:p>
        </w:tc>
        <w:tc>
          <w:p>
            <w:pPr>
              <w:pStyle w:val="Compact"/>
              <w:jc w:val="right"/>
            </w:pPr>
            <w:r>
              <w:t xml:space="preserve">0.0520378</w:t>
            </w:r>
          </w:p>
        </w:tc>
        <w:tc>
          <w:p>
            <w:pPr>
              <w:pStyle w:val="Compact"/>
              <w:jc w:val="right"/>
            </w:pPr>
            <w:r>
              <w:t xml:space="preserve">43.00020</w:t>
            </w:r>
          </w:p>
        </w:tc>
        <w:tc>
          <w:p>
            <w:pPr>
              <w:pStyle w:val="Compact"/>
              <w:jc w:val="right"/>
            </w:pPr>
            <w:r>
              <w:t xml:space="preserve">0.0785920</w:t>
            </w:r>
          </w:p>
        </w:tc>
        <w:tc>
          <w:p>
            <w:pPr>
              <w:pStyle w:val="Compact"/>
              <w:jc w:val="right"/>
            </w:pPr>
            <w:r>
              <w:t xml:space="preserve">0.2884805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0.5763899</w:t>
            </w:r>
          </w:p>
        </w:tc>
        <w:tc>
          <w:p>
            <w:pPr>
              <w:pStyle w:val="Compact"/>
              <w:jc w:val="right"/>
            </w:pPr>
            <w:r>
              <w:t xml:space="preserve">0.0462641</w:t>
            </w:r>
          </w:p>
        </w:tc>
        <w:tc>
          <w:p>
            <w:pPr>
              <w:pStyle w:val="Compact"/>
              <w:jc w:val="right"/>
            </w:pPr>
            <w:r>
              <w:t xml:space="preserve">46.19839</w:t>
            </w:r>
          </w:p>
        </w:tc>
        <w:tc>
          <w:p>
            <w:pPr>
              <w:pStyle w:val="Compact"/>
              <w:jc w:val="right"/>
            </w:pPr>
            <w:r>
              <w:t xml:space="preserve">0.4832760</w:t>
            </w:r>
          </w:p>
        </w:tc>
        <w:tc>
          <w:p>
            <w:pPr>
              <w:pStyle w:val="Compact"/>
              <w:jc w:val="right"/>
            </w:pPr>
            <w:r>
              <w:t xml:space="preserve">0.6695038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0.2751677</w:t>
            </w:r>
          </w:p>
        </w:tc>
        <w:tc>
          <w:p>
            <w:pPr>
              <w:pStyle w:val="Compact"/>
              <w:jc w:val="right"/>
            </w:pPr>
            <w:r>
              <w:t xml:space="preserve">0.0528010</w:t>
            </w:r>
          </w:p>
        </w:tc>
        <w:tc>
          <w:p>
            <w:pPr>
              <w:pStyle w:val="Compact"/>
              <w:jc w:val="right"/>
            </w:pPr>
            <w:r>
              <w:t xml:space="preserve">45.59188</w:t>
            </w:r>
          </w:p>
        </w:tc>
        <w:tc>
          <w:p>
            <w:pPr>
              <w:pStyle w:val="Compact"/>
              <w:jc w:val="right"/>
            </w:pPr>
            <w:r>
              <w:t xml:space="preserve">0.1688592</w:t>
            </w:r>
          </w:p>
        </w:tc>
        <w:tc>
          <w:p>
            <w:pPr>
              <w:pStyle w:val="Compact"/>
              <w:jc w:val="right"/>
            </w:pPr>
            <w:r>
              <w:t xml:space="preserve">0.3814763</w:t>
            </w:r>
          </w:p>
        </w:tc>
      </w:tr>
    </w:tbl>
    <w:p>
      <w:pPr>
        <w:pStyle w:val="Heading3"/>
      </w:pPr>
      <w:bookmarkStart w:id="24" w:name="X00a04c6871d5a840e2d8a215388abbda03abe04"/>
      <w:r>
        <w:t xml:space="preserve">Table S3. Contrasts from GLS for compensation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-0.3928537</w:t>
            </w:r>
          </w:p>
        </w:tc>
        <w:tc>
          <w:p>
            <w:pPr>
              <w:pStyle w:val="Compact"/>
              <w:jc w:val="right"/>
            </w:pPr>
            <w:r>
              <w:t xml:space="preserve">0.0689413</w:t>
            </w:r>
          </w:p>
        </w:tc>
        <w:tc>
          <w:p>
            <w:pPr>
              <w:pStyle w:val="Compact"/>
              <w:jc w:val="right"/>
            </w:pPr>
            <w:r>
              <w:t xml:space="preserve">46.70328</w:t>
            </w:r>
          </w:p>
        </w:tc>
        <w:tc>
          <w:p>
            <w:pPr>
              <w:pStyle w:val="Compact"/>
              <w:jc w:val="right"/>
            </w:pPr>
            <w:r>
              <w:t xml:space="preserve">-5.698378</w:t>
            </w:r>
          </w:p>
        </w:tc>
        <w:tc>
          <w:p>
            <w:pPr>
              <w:pStyle w:val="Compact"/>
              <w:jc w:val="right"/>
            </w:pPr>
            <w:r>
              <w:t xml:space="preserve">0.0000023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-0.0916315</w:t>
            </w:r>
          </w:p>
        </w:tc>
        <w:tc>
          <w:p>
            <w:pPr>
              <w:pStyle w:val="Compact"/>
              <w:jc w:val="right"/>
            </w:pPr>
            <w:r>
              <w:t xml:space="preserve">0.0741194</w:t>
            </w:r>
          </w:p>
        </w:tc>
        <w:tc>
          <w:p>
            <w:pPr>
              <w:pStyle w:val="Compact"/>
              <w:jc w:val="right"/>
            </w:pPr>
            <w:r>
              <w:t xml:space="preserve">44.37665</w:t>
            </w:r>
          </w:p>
        </w:tc>
        <w:tc>
          <w:p>
            <w:pPr>
              <w:pStyle w:val="Compact"/>
              <w:jc w:val="right"/>
            </w:pPr>
            <w:r>
              <w:t xml:space="preserve">-1.236269</w:t>
            </w:r>
          </w:p>
        </w:tc>
        <w:tc>
          <w:p>
            <w:pPr>
              <w:pStyle w:val="Compact"/>
              <w:jc w:val="right"/>
            </w:pPr>
            <w:r>
              <w:t xml:space="preserve">0.4384824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0.3012222</w:t>
            </w:r>
          </w:p>
        </w:tc>
        <w:tc>
          <w:p>
            <w:pPr>
              <w:pStyle w:val="Compact"/>
              <w:jc w:val="right"/>
            </w:pPr>
            <w:r>
              <w:t xml:space="preserve">0.0694989</w:t>
            </w:r>
          </w:p>
        </w:tc>
        <w:tc>
          <w:p>
            <w:pPr>
              <w:pStyle w:val="Compact"/>
              <w:jc w:val="right"/>
            </w:pPr>
            <w:r>
              <w:t xml:space="preserve">48.30465</w:t>
            </w:r>
          </w:p>
        </w:tc>
        <w:tc>
          <w:p>
            <w:pPr>
              <w:pStyle w:val="Compact"/>
              <w:jc w:val="right"/>
            </w:pPr>
            <w:r>
              <w:t xml:space="preserve">4.334200</w:t>
            </w:r>
          </w:p>
        </w:tc>
        <w:tc>
          <w:p>
            <w:pPr>
              <w:pStyle w:val="Compact"/>
              <w:jc w:val="right"/>
            </w:pPr>
            <w:r>
              <w:t xml:space="preserve">0.0002150</w:t>
            </w:r>
          </w:p>
        </w:tc>
      </w:tr>
    </w:tbl>
    <w:p>
      <w:pPr>
        <w:pStyle w:val="Heading2"/>
      </w:pPr>
      <w:bookmarkStart w:id="25" w:name="total-energy-use"/>
      <w:r>
        <w:t xml:space="preserve">Total energy use</w:t>
      </w:r>
      <w:bookmarkEnd w:id="25"/>
    </w:p>
    <w:p>
      <w:pPr>
        <w:pStyle w:val="Heading3"/>
      </w:pPr>
      <w:bookmarkStart w:id="26" w:name="X9800cf9fb10aceef7644c5a98495a8b821c1016"/>
      <w:r>
        <w:t xml:space="preserve">Table S4. Coefficients from GLS on total energy ratio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0.5016731</w:t>
            </w:r>
          </w:p>
        </w:tc>
        <w:tc>
          <w:p>
            <w:pPr>
              <w:pStyle w:val="Compact"/>
              <w:jc w:val="right"/>
            </w:pPr>
            <w:r>
              <w:t xml:space="preserve">0.0271176</w:t>
            </w:r>
          </w:p>
        </w:tc>
        <w:tc>
          <w:p>
            <w:pPr>
              <w:pStyle w:val="Compact"/>
              <w:jc w:val="right"/>
            </w:pPr>
            <w:r>
              <w:t xml:space="preserve">18.499880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0.1413504</w:t>
            </w:r>
          </w:p>
        </w:tc>
        <w:tc>
          <w:p>
            <w:pPr>
              <w:pStyle w:val="Compact"/>
              <w:jc w:val="right"/>
            </w:pPr>
            <w:r>
              <w:t xml:space="preserve">0.0477646</w:t>
            </w:r>
          </w:p>
        </w:tc>
        <w:tc>
          <w:p>
            <w:pPr>
              <w:pStyle w:val="Compact"/>
              <w:jc w:val="right"/>
            </w:pPr>
            <w:r>
              <w:t xml:space="preserve">2.959316</w:t>
            </w:r>
          </w:p>
        </w:tc>
        <w:tc>
          <w:p>
            <w:pPr>
              <w:pStyle w:val="Compact"/>
              <w:jc w:val="right"/>
            </w:pPr>
            <w:r>
              <w:t xml:space="preserve">0.0033001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-0.2503659</w:t>
            </w:r>
          </w:p>
        </w:tc>
        <w:tc>
          <w:p>
            <w:pPr>
              <w:pStyle w:val="Compact"/>
              <w:jc w:val="right"/>
            </w:pPr>
            <w:r>
              <w:t xml:space="preserve">0.0429312</w:t>
            </w:r>
          </w:p>
        </w:tc>
        <w:tc>
          <w:p>
            <w:pPr>
              <w:pStyle w:val="Compact"/>
              <w:jc w:val="right"/>
            </w:pPr>
            <w:r>
              <w:t xml:space="preserve">-5.831790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7" w:name="Xa0e8a39b36e57402cb38ff97e5cae6f74375220"/>
      <w:r>
        <w:t xml:space="preserve">Table S5. Estimates from GLS on total energy ratio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0.2995118</w:t>
            </w:r>
          </w:p>
        </w:tc>
        <w:tc>
          <w:p>
            <w:pPr>
              <w:pStyle w:val="Compact"/>
              <w:jc w:val="right"/>
            </w:pPr>
            <w:r>
              <w:t xml:space="preserve">0.0475806</w:t>
            </w:r>
          </w:p>
        </w:tc>
        <w:tc>
          <w:p>
            <w:pPr>
              <w:pStyle w:val="Compact"/>
              <w:jc w:val="right"/>
            </w:pPr>
            <w:r>
              <w:t xml:space="preserve">36.07948</w:t>
            </w:r>
          </w:p>
        </w:tc>
        <w:tc>
          <w:p>
            <w:pPr>
              <w:pStyle w:val="Compact"/>
              <w:jc w:val="right"/>
            </w:pPr>
            <w:r>
              <w:t xml:space="preserve">0.2030213</w:t>
            </w:r>
          </w:p>
        </w:tc>
        <w:tc>
          <w:p>
            <w:pPr>
              <w:pStyle w:val="Compact"/>
              <w:jc w:val="right"/>
            </w:pPr>
            <w:r>
              <w:t xml:space="preserve">0.3960023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0.7060960</w:t>
            </w:r>
          </w:p>
        </w:tc>
        <w:tc>
          <w:p>
            <w:pPr>
              <w:pStyle w:val="Compact"/>
              <w:jc w:val="right"/>
            </w:pPr>
            <w:r>
              <w:t xml:space="preserve">0.0419773</w:t>
            </w:r>
          </w:p>
        </w:tc>
        <w:tc>
          <w:p>
            <w:pPr>
              <w:pStyle w:val="Compact"/>
              <w:jc w:val="right"/>
            </w:pPr>
            <w:r>
              <w:t xml:space="preserve">38.39277</w:t>
            </w:r>
          </w:p>
        </w:tc>
        <w:tc>
          <w:p>
            <w:pPr>
              <w:pStyle w:val="Compact"/>
              <w:jc w:val="right"/>
            </w:pPr>
            <w:r>
              <w:t xml:space="preserve">0.6211459</w:t>
            </w:r>
          </w:p>
        </w:tc>
        <w:tc>
          <w:p>
            <w:pPr>
              <w:pStyle w:val="Compact"/>
              <w:jc w:val="right"/>
            </w:pPr>
            <w:r>
              <w:t xml:space="preserve">0.7910460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0.4994115</w:t>
            </w:r>
          </w:p>
        </w:tc>
        <w:tc>
          <w:p>
            <w:pPr>
              <w:pStyle w:val="Compact"/>
              <w:jc w:val="right"/>
            </w:pPr>
            <w:r>
              <w:t xml:space="preserve">0.0480066</w:t>
            </w:r>
          </w:p>
        </w:tc>
        <w:tc>
          <w:p>
            <w:pPr>
              <w:pStyle w:val="Compact"/>
              <w:jc w:val="right"/>
            </w:pPr>
            <w:r>
              <w:t xml:space="preserve">37.50364</w:t>
            </w:r>
          </w:p>
        </w:tc>
        <w:tc>
          <w:p>
            <w:pPr>
              <w:pStyle w:val="Compact"/>
              <w:jc w:val="right"/>
            </w:pPr>
            <w:r>
              <w:t xml:space="preserve">0.4021849</w:t>
            </w:r>
          </w:p>
        </w:tc>
        <w:tc>
          <w:p>
            <w:pPr>
              <w:pStyle w:val="Compact"/>
              <w:jc w:val="right"/>
            </w:pPr>
            <w:r>
              <w:t xml:space="preserve">0.5966381</w:t>
            </w:r>
          </w:p>
        </w:tc>
      </w:tr>
    </w:tbl>
    <w:p>
      <w:pPr>
        <w:pStyle w:val="Heading3"/>
      </w:pPr>
      <w:bookmarkStart w:id="28" w:name="X67260b646fdf9ce9affa530874e1bb62c1911f3"/>
      <w:r>
        <w:t xml:space="preserve">Table S6. Contrasts from GLS on total energy ratio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-0.4065842</w:t>
            </w:r>
          </w:p>
        </w:tc>
        <w:tc>
          <w:p>
            <w:pPr>
              <w:pStyle w:val="Compact"/>
              <w:jc w:val="right"/>
            </w:pPr>
            <w:r>
              <w:t xml:space="preserve">0.0623398</w:t>
            </w:r>
          </w:p>
        </w:tc>
        <w:tc>
          <w:p>
            <w:pPr>
              <w:pStyle w:val="Compact"/>
              <w:jc w:val="right"/>
            </w:pPr>
            <w:r>
              <w:t xml:space="preserve">40.38396</w:t>
            </w:r>
          </w:p>
        </w:tc>
        <w:tc>
          <w:p>
            <w:pPr>
              <w:pStyle w:val="Compact"/>
              <w:jc w:val="right"/>
            </w:pPr>
            <w:r>
              <w:t xml:space="preserve">-6.522060</w:t>
            </w:r>
          </w:p>
        </w:tc>
        <w:tc>
          <w:p>
            <w:pPr>
              <w:pStyle w:val="Compact"/>
              <w:jc w:val="right"/>
            </w:pPr>
            <w:r>
              <w:t xml:space="preserve">0.0000002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-0.1998997</w:t>
            </w:r>
          </w:p>
        </w:tc>
        <w:tc>
          <w:p>
            <w:pPr>
              <w:pStyle w:val="Compact"/>
              <w:jc w:val="right"/>
            </w:pPr>
            <w:r>
              <w:t xml:space="preserve">0.0675493</w:t>
            </w:r>
          </w:p>
        </w:tc>
        <w:tc>
          <w:p>
            <w:pPr>
              <w:pStyle w:val="Compact"/>
              <w:jc w:val="right"/>
            </w:pPr>
            <w:r>
              <w:t xml:space="preserve">37.00046</w:t>
            </w:r>
          </w:p>
        </w:tc>
        <w:tc>
          <w:p>
            <w:pPr>
              <w:pStyle w:val="Compact"/>
              <w:jc w:val="right"/>
            </w:pPr>
            <w:r>
              <w:t xml:space="preserve">-2.959316</w:t>
            </w:r>
          </w:p>
        </w:tc>
        <w:tc>
          <w:p>
            <w:pPr>
              <w:pStyle w:val="Compact"/>
              <w:jc w:val="right"/>
            </w:pPr>
            <w:r>
              <w:t xml:space="preserve">0.0144590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0.2066845</w:t>
            </w:r>
          </w:p>
        </w:tc>
        <w:tc>
          <w:p>
            <w:pPr>
              <w:pStyle w:val="Compact"/>
              <w:jc w:val="right"/>
            </w:pPr>
            <w:r>
              <w:t xml:space="preserve">0.0626456</w:t>
            </w:r>
          </w:p>
        </w:tc>
        <w:tc>
          <w:p>
            <w:pPr>
              <w:pStyle w:val="Compact"/>
              <w:jc w:val="right"/>
            </w:pPr>
            <w:r>
              <w:t xml:space="preserve">41.31271</w:t>
            </w:r>
          </w:p>
        </w:tc>
        <w:tc>
          <w:p>
            <w:pPr>
              <w:pStyle w:val="Compact"/>
              <w:jc w:val="right"/>
            </w:pPr>
            <w:r>
              <w:t xml:space="preserve">3.299267</w:t>
            </w:r>
          </w:p>
        </w:tc>
        <w:tc>
          <w:p>
            <w:pPr>
              <w:pStyle w:val="Compact"/>
              <w:jc w:val="right"/>
            </w:pPr>
            <w:r>
              <w:t xml:space="preserve">0.0055640</w:t>
            </w:r>
          </w:p>
        </w:tc>
      </w:tr>
    </w:tbl>
    <w:p>
      <w:pPr>
        <w:pStyle w:val="Heading1"/>
      </w:pPr>
      <w:bookmarkStart w:id="29" w:name="community-composition"/>
      <w:r>
        <w:t xml:space="preserve">Community composition</w:t>
      </w:r>
      <w:bookmarkEnd w:id="29"/>
    </w:p>
    <w:p>
      <w:pPr>
        <w:pStyle w:val="Heading2"/>
      </w:pPr>
      <w:bookmarkStart w:id="30" w:name="kangaroo-rat-proportional-energy-use"/>
      <w:r>
        <w:t xml:space="preserve">Kangaroo rat proportional energy use</w:t>
      </w:r>
      <w:bookmarkEnd w:id="30"/>
    </w:p>
    <w:p>
      <w:pPr>
        <w:pStyle w:val="Heading3"/>
      </w:pPr>
      <w:bookmarkStart w:id="31" w:name="Xaacca3703949926200e48e2fe4abb8bcb7c527b"/>
      <w:r>
        <w:t xml:space="preserve">Table S7. Coefficients from GLM on Dipodomys energy use.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1.4032480</w:t>
            </w:r>
          </w:p>
        </w:tc>
        <w:tc>
          <w:p>
            <w:pPr>
              <w:pStyle w:val="Compact"/>
              <w:jc w:val="right"/>
            </w:pPr>
            <w:r>
              <w:t xml:space="preserve">0.0594085</w:t>
            </w:r>
          </w:p>
        </w:tc>
        <w:tc>
          <w:p>
            <w:pPr>
              <w:pStyle w:val="Compact"/>
              <w:jc w:val="right"/>
            </w:pPr>
            <w:r>
              <w:t xml:space="preserve">23.620308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-1.1000833</w:t>
            </w:r>
          </w:p>
        </w:tc>
        <w:tc>
          <w:p>
            <w:pPr>
              <w:pStyle w:val="Compact"/>
              <w:jc w:val="right"/>
            </w:pPr>
            <w:r>
              <w:t xml:space="preserve">0.1134950</w:t>
            </w:r>
          </w:p>
        </w:tc>
        <w:tc>
          <w:p>
            <w:pPr>
              <w:pStyle w:val="Compact"/>
              <w:jc w:val="right"/>
            </w:pPr>
            <w:r>
              <w:t xml:space="preserve">-9.692789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0.5855493</w:t>
            </w:r>
          </w:p>
        </w:tc>
        <w:tc>
          <w:p>
            <w:pPr>
              <w:pStyle w:val="Compact"/>
              <w:jc w:val="right"/>
            </w:pPr>
            <w:r>
              <w:t xml:space="preserve">0.0910776</w:t>
            </w:r>
          </w:p>
        </w:tc>
        <w:tc>
          <w:p>
            <w:pPr>
              <w:pStyle w:val="Compact"/>
              <w:jc w:val="right"/>
            </w:pPr>
            <w:r>
              <w:t xml:space="preserve">6.429125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2" w:name="Xa0bf79124bcaa5b814578fd6ae8d5f2e8b269a5"/>
      <w:r>
        <w:t xml:space="preserve">Table S8. Estimates from GLM on Dipodomys energy use.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0.9183528</w:t>
            </w:r>
          </w:p>
        </w:tc>
        <w:tc>
          <w:p>
            <w:pPr>
              <w:pStyle w:val="Compact"/>
              <w:jc w:val="right"/>
            </w:pPr>
            <w:r>
              <w:t xml:space="preserve">0.0101357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0.8984872</w:t>
            </w:r>
          </w:p>
        </w:tc>
        <w:tc>
          <w:p>
            <w:pPr>
              <w:pStyle w:val="Compact"/>
              <w:jc w:val="right"/>
            </w:pPr>
            <w:r>
              <w:t xml:space="preserve">0.9382184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0.7160901</w:t>
            </w:r>
          </w:p>
        </w:tc>
        <w:tc>
          <w:p>
            <w:pPr>
              <w:pStyle w:val="Compact"/>
              <w:jc w:val="right"/>
            </w:pPr>
            <w:r>
              <w:t xml:space="preserve">0.0157507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0.6852192</w:t>
            </w:r>
          </w:p>
        </w:tc>
        <w:tc>
          <w:p>
            <w:pPr>
              <w:pStyle w:val="Compact"/>
              <w:jc w:val="right"/>
            </w:pPr>
            <w:r>
              <w:t xml:space="preserve">0.7469610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0.7035835</w:t>
            </w:r>
          </w:p>
        </w:tc>
        <w:tc>
          <w:p>
            <w:pPr>
              <w:pStyle w:val="Compact"/>
              <w:jc w:val="right"/>
            </w:pPr>
            <w:r>
              <w:t xml:space="preserve">0.0180485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0.6682091</w:t>
            </w:r>
          </w:p>
        </w:tc>
        <w:tc>
          <w:p>
            <w:pPr>
              <w:pStyle w:val="Compact"/>
              <w:jc w:val="right"/>
            </w:pPr>
            <w:r>
              <w:t xml:space="preserve">0.7389579</w:t>
            </w:r>
          </w:p>
        </w:tc>
      </w:tr>
    </w:tbl>
    <w:p>
      <w:pPr>
        <w:pStyle w:val="Heading3"/>
      </w:pPr>
      <w:bookmarkStart w:id="33" w:name="X4bcb9b798c4acc7113894542ff26f1f7aec6345"/>
      <w:r>
        <w:t xml:space="preserve">Table S9. Contrasts from GLM on Dipodomys energy use.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0.2022627</w:t>
            </w:r>
          </w:p>
        </w:tc>
        <w:tc>
          <w:p>
            <w:pPr>
              <w:pStyle w:val="Compact"/>
              <w:jc w:val="right"/>
            </w:pPr>
            <w:r>
              <w:t xml:space="preserve">0.0187302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10.7987757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0.2147693</w:t>
            </w:r>
          </w:p>
        </w:tc>
        <w:tc>
          <w:p>
            <w:pPr>
              <w:pStyle w:val="Compact"/>
              <w:jc w:val="right"/>
            </w:pPr>
            <w:r>
              <w:t xml:space="preserve">0.0206998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10.3754389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0.0125066</w:t>
            </w:r>
          </w:p>
        </w:tc>
        <w:tc>
          <w:p>
            <w:pPr>
              <w:pStyle w:val="Compact"/>
              <w:jc w:val="right"/>
            </w:pPr>
            <w:r>
              <w:t xml:space="preserve">0.0239548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0.5220892</w:t>
            </w:r>
          </w:p>
        </w:tc>
        <w:tc>
          <w:p>
            <w:pPr>
              <w:pStyle w:val="Compact"/>
              <w:jc w:val="right"/>
            </w:pPr>
            <w:r>
              <w:t xml:space="preserve">0.8605416</w:t>
            </w:r>
          </w:p>
        </w:tc>
      </w:tr>
    </w:tbl>
    <w:p>
      <w:pPr>
        <w:pStyle w:val="Heading2"/>
      </w:pPr>
      <w:bookmarkStart w:id="34" w:name="c.-baileyi-proportional-energy-use"/>
      <w:r>
        <w:t xml:space="preserve">C. baileyi proportional energy use</w:t>
      </w:r>
      <w:bookmarkEnd w:id="34"/>
    </w:p>
    <w:p>
      <w:pPr>
        <w:pStyle w:val="Heading3"/>
      </w:pPr>
      <w:bookmarkStart w:id="35" w:name="X042f314f0be099ef56f2f4df8def9fc86b747d4"/>
      <w:r>
        <w:t xml:space="preserve">Table S10. Coefficients from GLM on C. baileyi energy use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-1.9839680</w:t>
            </w:r>
          </w:p>
        </w:tc>
        <w:tc>
          <w:p>
            <w:pPr>
              <w:pStyle w:val="Compact"/>
              <w:jc w:val="right"/>
            </w:pPr>
            <w:r>
              <w:t xml:space="preserve">0.1687782</w:t>
            </w:r>
          </w:p>
        </w:tc>
        <w:tc>
          <w:p>
            <w:pPr>
              <w:pStyle w:val="Compact"/>
              <w:jc w:val="right"/>
            </w:pPr>
            <w:r>
              <w:t xml:space="preserve">-11.754886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-2.0263514</w:t>
            </w:r>
          </w:p>
        </w:tc>
        <w:tc>
          <w:p>
            <w:pPr>
              <w:pStyle w:val="Compact"/>
              <w:jc w:val="right"/>
            </w:pPr>
            <w:r>
              <w:t xml:space="preserve">0.2386884</w:t>
            </w:r>
          </w:p>
        </w:tc>
        <w:tc>
          <w:p>
            <w:pPr>
              <w:pStyle w:val="Compact"/>
              <w:jc w:val="right"/>
            </w:pPr>
            <w:r>
              <w:t xml:space="preserve">-8.489527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oplottype.L</w:t>
            </w:r>
          </w:p>
        </w:tc>
        <w:tc>
          <w:p>
            <w:pPr>
              <w:pStyle w:val="Compact"/>
              <w:jc w:val="right"/>
            </w:pPr>
            <w:r>
              <w:t xml:space="preserve">2.7763307</w:t>
            </w:r>
          </w:p>
        </w:tc>
        <w:tc>
          <w:p>
            <w:pPr>
              <w:pStyle w:val="Compact"/>
              <w:jc w:val="right"/>
            </w:pPr>
            <w:r>
              <w:t xml:space="preserve">0.2386884</w:t>
            </w:r>
          </w:p>
        </w:tc>
        <w:tc>
          <w:p>
            <w:pPr>
              <w:pStyle w:val="Compact"/>
              <w:jc w:val="right"/>
            </w:pPr>
            <w:r>
              <w:t xml:space="preserve">11.631613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oera.L:oplottype.L</w:t>
            </w:r>
          </w:p>
        </w:tc>
        <w:tc>
          <w:p>
            <w:pPr>
              <w:pStyle w:val="Compact"/>
              <w:jc w:val="right"/>
            </w:pPr>
            <w:r>
              <w:t xml:space="preserve">0.9918497</w:t>
            </w:r>
          </w:p>
        </w:tc>
        <w:tc>
          <w:p>
            <w:pPr>
              <w:pStyle w:val="Compact"/>
              <w:jc w:val="right"/>
            </w:pPr>
            <w:r>
              <w:t xml:space="preserve">0.3375563</w:t>
            </w:r>
          </w:p>
        </w:tc>
        <w:tc>
          <w:p>
            <w:pPr>
              <w:pStyle w:val="Compact"/>
              <w:jc w:val="right"/>
            </w:pPr>
            <w:r>
              <w:t xml:space="preserve">2.938324</w:t>
            </w:r>
          </w:p>
        </w:tc>
        <w:tc>
          <w:p>
            <w:pPr>
              <w:pStyle w:val="Compact"/>
              <w:jc w:val="right"/>
            </w:pPr>
            <w:r>
              <w:t xml:space="preserve">0.0034691</w:t>
            </w:r>
          </w:p>
        </w:tc>
      </w:tr>
    </w:tbl>
    <w:p>
      <w:pPr>
        <w:pStyle w:val="Heading3"/>
      </w:pPr>
      <w:bookmarkStart w:id="36" w:name="Xaf2cc529bbcfa9359df2763af8b138cfdf5f876"/>
      <w:r>
        <w:t xml:space="preserve">Table S11. Estimates from GLM on C. baileyi energy use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0.1172888</w:t>
            </w:r>
          </w:p>
        </w:tc>
        <w:tc>
          <w:p>
            <w:pPr>
              <w:pStyle w:val="Compact"/>
              <w:jc w:val="right"/>
            </w:pPr>
            <w:r>
              <w:t xml:space="preserve">0.0099189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0.0978482</w:t>
            </w:r>
          </w:p>
        </w:tc>
        <w:tc>
          <w:p>
            <w:pPr>
              <w:pStyle w:val="Compact"/>
              <w:jc w:val="right"/>
            </w:pPr>
            <w:r>
              <w:t xml:space="preserve">0.1367294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0.0027984</w:t>
            </w:r>
          </w:p>
        </w:tc>
        <w:tc>
          <w:p>
            <w:pPr>
              <w:pStyle w:val="Compact"/>
              <w:jc w:val="right"/>
            </w:pPr>
            <w:r>
              <w:t xml:space="preserve">0.0018422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-0.0008123</w:t>
            </w:r>
          </w:p>
        </w:tc>
        <w:tc>
          <w:p>
            <w:pPr>
              <w:pStyle w:val="Compact"/>
              <w:jc w:val="right"/>
            </w:pPr>
            <w:r>
              <w:t xml:space="preserve">0.0064091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0.7142501</w:t>
            </w:r>
          </w:p>
        </w:tc>
        <w:tc>
          <w:p>
            <w:pPr>
              <w:pStyle w:val="Compact"/>
              <w:jc w:val="right"/>
            </w:pPr>
            <w:r>
              <w:t xml:space="preserve">0.0139265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0.6869546</w:t>
            </w:r>
          </w:p>
        </w:tc>
        <w:tc>
          <w:p>
            <w:pPr>
              <w:pStyle w:val="Compact"/>
              <w:jc w:val="right"/>
            </w:pPr>
            <w:r>
              <w:t xml:space="preserve">0.7415456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0.2773334</w:t>
            </w:r>
          </w:p>
        </w:tc>
        <w:tc>
          <w:p>
            <w:pPr>
              <w:pStyle w:val="Compact"/>
              <w:jc w:val="right"/>
            </w:pPr>
            <w:r>
              <w:t xml:space="preserve">0.0156921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0.2465774</w:t>
            </w:r>
          </w:p>
        </w:tc>
        <w:tc>
          <w:p>
            <w:pPr>
              <w:pStyle w:val="Compact"/>
              <w:jc w:val="right"/>
            </w:pPr>
            <w:r>
              <w:t xml:space="preserve">0.3080894</w:t>
            </w:r>
          </w:p>
        </w:tc>
      </w:tr>
    </w:tbl>
    <w:p>
      <w:pPr>
        <w:pStyle w:val="Heading3"/>
      </w:pPr>
      <w:bookmarkStart w:id="37" w:name="X13dd4a093ab02ccf005d07a1500ae8fa15d6159"/>
      <w:r>
        <w:t xml:space="preserve">Table S12. Contrasts from GLM on C. baileyi energy use.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oplottype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right"/>
            </w:pPr>
            <w:r>
              <w:t xml:space="preserve">0.1144904</w:t>
            </w:r>
          </w:p>
        </w:tc>
        <w:tc>
          <w:p>
            <w:pPr>
              <w:pStyle w:val="Compact"/>
              <w:jc w:val="right"/>
            </w:pPr>
            <w:r>
              <w:t xml:space="preserve">0.0100885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11.34861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left"/>
            </w:pPr>
            <w:r>
              <w:t xml:space="preserve">EE</w:t>
            </w:r>
          </w:p>
        </w:tc>
        <w:tc>
          <w:p>
            <w:pPr>
              <w:pStyle w:val="Compact"/>
              <w:jc w:val="right"/>
            </w:pPr>
            <w:r>
              <w:t xml:space="preserve">0.4369167</w:t>
            </w:r>
          </w:p>
        </w:tc>
        <w:tc>
          <w:p>
            <w:pPr>
              <w:pStyle w:val="Compact"/>
              <w:jc w:val="right"/>
            </w:pPr>
            <w:r>
              <w:t xml:space="preserve">0.0209807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20.82468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S1 - Full model results</dc:title>
  <dc:creator/>
  <cp:keywords/>
  <dcterms:created xsi:type="dcterms:W3CDTF">2021-12-10T03:49:48Z</dcterms:created>
  <dcterms:modified xsi:type="dcterms:W3CDTF">2021-12-10T03:49:48Z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