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S1</w:t>
      </w:r>
      <w:r>
        <w:t xml:space="preserve"> </w:t>
      </w:r>
      <w:r>
        <w:t xml:space="preserve">-</w:t>
      </w:r>
      <w:r>
        <w:t xml:space="preserve"> </w:t>
      </w:r>
      <w:r>
        <w:t xml:space="preserve">Full</w:t>
      </w:r>
      <w:r>
        <w:t xml:space="preserve"> </w:t>
      </w:r>
      <w:r>
        <w:t xml:space="preserve">model</w:t>
      </w:r>
      <w:r>
        <w:t xml:space="preserve"> </w:t>
      </w:r>
      <w:r>
        <w:t xml:space="preserve">results</w:t>
      </w:r>
    </w:p>
    <w:p>
      <w:pPr>
        <w:pStyle w:val="Subtitle"/>
      </w:pPr>
      <w:r>
        <w:t xml:space="preserve">Supplemental</w:t>
      </w:r>
      <w:r>
        <w:t xml:space="preserve"> </w:t>
      </w:r>
      <w:r>
        <w:t xml:space="preserve">information</w:t>
      </w:r>
      <w:r>
        <w:t xml:space="preserve"> </w:t>
      </w:r>
      <w:r>
        <w:t xml:space="preserve">for</w:t>
      </w:r>
      <w:r>
        <w:t xml:space="preserve"> </w:t>
      </w:r>
      <w:r>
        <w:t xml:space="preserve">Diaz</w:t>
      </w:r>
      <w:r>
        <w:t xml:space="preserve"> </w:t>
      </w:r>
      <w:r>
        <w:t xml:space="preserve">and</w:t>
      </w:r>
      <w:r>
        <w:t xml:space="preserve"> </w:t>
      </w:r>
      <w:r>
        <w:t xml:space="preserve">Ernest,</w:t>
      </w:r>
      <w:r>
        <w:t xml:space="preserve"> </w:t>
      </w:r>
      <w:r>
        <w:t xml:space="preserve">“</w:t>
      </w:r>
      <w:r>
        <w:t xml:space="preserve">Maintenance</w:t>
      </w:r>
      <w:r>
        <w:t xml:space="preserve"> </w:t>
      </w:r>
      <w:r>
        <w:t xml:space="preserve">of</w:t>
      </w:r>
      <w:r>
        <w:t xml:space="preserve"> </w:t>
      </w:r>
      <w:r>
        <w:t xml:space="preserve">community</w:t>
      </w:r>
      <w:r>
        <w:t xml:space="preserve"> </w:t>
      </w:r>
      <w:r>
        <w:t xml:space="preserve">function</w:t>
      </w:r>
      <w:r>
        <w:t xml:space="preserve"> </w:t>
      </w:r>
      <w:r>
        <w:t xml:space="preserve">through</w:t>
      </w:r>
      <w:r>
        <w:t xml:space="preserve"> </w:t>
      </w:r>
      <w:r>
        <w:t xml:space="preserve">compensation</w:t>
      </w:r>
      <w:r>
        <w:t xml:space="preserve"> </w:t>
      </w:r>
      <w:r>
        <w:t xml:space="preserve">breaks</w:t>
      </w:r>
      <w:r>
        <w:t xml:space="preserve"> </w:t>
      </w:r>
      <w:r>
        <w:t xml:space="preserve">down</w:t>
      </w:r>
      <w:r>
        <w:t xml:space="preserve"> </w:t>
      </w:r>
      <w:r>
        <w:t xml:space="preserve">over</w:t>
      </w:r>
      <w:r>
        <w:t xml:space="preserve"> </w:t>
      </w:r>
      <w:r>
        <w:t xml:space="preserve">time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desert</w:t>
      </w:r>
      <w:r>
        <w:t xml:space="preserve"> </w:t>
      </w:r>
      <w:r>
        <w:t xml:space="preserve">rodent</w:t>
      </w:r>
      <w:r>
        <w:t xml:space="preserve"> </w:t>
      </w:r>
      <w:r>
        <w:t xml:space="preserve">community</w:t>
      </w:r>
      <w:r>
        <w:t xml:space="preserve">”</w:t>
      </w:r>
      <w:r>
        <w:t xml:space="preserve">.</w:t>
      </w:r>
      <w:r>
        <w:t xml:space="preserve"> </w:t>
      </w:r>
      <w:r>
        <w:t xml:space="preserve">In</w:t>
      </w:r>
      <w:r>
        <w:t xml:space="preserve"> </w:t>
      </w:r>
      <w:r>
        <w:t xml:space="preserve">review</w:t>
      </w:r>
      <w:r>
        <w:t xml:space="preserve"> </w:t>
      </w:r>
      <w:r>
        <w:t xml:space="preserve">at</w:t>
      </w:r>
      <w:r>
        <w:t xml:space="preserve"> </w:t>
      </w:r>
      <w:r>
        <w:t xml:space="preserve">Ecology.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Heading1"/>
      </w:pPr>
      <w:bookmarkStart w:id="20" w:name="compensation"/>
      <w:r>
        <w:t xml:space="preserve">Compensation</w:t>
      </w:r>
      <w:bookmarkEnd w:id="20"/>
    </w:p>
    <w:p>
      <w:pPr>
        <w:pStyle w:val="Heading3"/>
      </w:pPr>
      <w:bookmarkStart w:id="21" w:name="X65efa2da1bfa2895dca61e838ed9a29f9420902"/>
      <w:r>
        <w:t xml:space="preserve">Table S1. Coefficients from GLS for compensation</w:t>
      </w:r>
      <w:bookmarkEnd w:id="2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0.3450313</w:t>
            </w:r>
          </w:p>
        </w:tc>
        <w:tc>
          <w:p>
            <w:pPr>
              <w:pStyle w:val="Compact"/>
              <w:jc w:val="right"/>
            </w:pPr>
            <w:r>
              <w:t xml:space="preserve">0.0294996</w:t>
            </w:r>
          </w:p>
        </w:tc>
        <w:tc>
          <w:p>
            <w:pPr>
              <w:pStyle w:val="Compact"/>
              <w:jc w:val="right"/>
            </w:pPr>
            <w:r>
              <w:t xml:space="preserve">11.696141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0.0647933</w:t>
            </w:r>
          </w:p>
        </w:tc>
        <w:tc>
          <w:p>
            <w:pPr>
              <w:pStyle w:val="Compact"/>
              <w:jc w:val="right"/>
            </w:pPr>
            <w:r>
              <w:t xml:space="preserve">0.0524103</w:t>
            </w:r>
          </w:p>
        </w:tc>
        <w:tc>
          <w:p>
            <w:pPr>
              <w:pStyle w:val="Compact"/>
              <w:jc w:val="right"/>
            </w:pPr>
            <w:r>
              <w:t xml:space="preserve">1.236269</w:t>
            </w:r>
          </w:p>
        </w:tc>
        <w:tc>
          <w:p>
            <w:pPr>
              <w:pStyle w:val="Compact"/>
              <w:jc w:val="right"/>
            </w:pPr>
            <w:r>
              <w:t xml:space="preserve">0.2172146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-0.2833553</w:t>
            </w:r>
          </w:p>
        </w:tc>
        <w:tc>
          <w:p>
            <w:pPr>
              <w:pStyle w:val="Compact"/>
              <w:jc w:val="right"/>
            </w:pPr>
            <w:r>
              <w:t xml:space="preserve">0.0477359</w:t>
            </w:r>
          </w:p>
        </w:tc>
        <w:tc>
          <w:p>
            <w:pPr>
              <w:pStyle w:val="Compact"/>
              <w:jc w:val="right"/>
            </w:pPr>
            <w:r>
              <w:t xml:space="preserve">-5.935890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2" w:name="X4eec479fd7c5d92444953f22f8f2adb7b89ab6b"/>
      <w:r>
        <w:t xml:space="preserve">Table S2. Estimates from GLS for compensation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0.1835362</w:t>
            </w:r>
          </w:p>
        </w:tc>
        <w:tc>
          <w:p>
            <w:pPr>
              <w:pStyle w:val="Compact"/>
              <w:jc w:val="right"/>
            </w:pPr>
            <w:r>
              <w:t xml:space="preserve">0.0520378</w:t>
            </w:r>
          </w:p>
        </w:tc>
        <w:tc>
          <w:p>
            <w:pPr>
              <w:pStyle w:val="Compact"/>
              <w:jc w:val="right"/>
            </w:pPr>
            <w:r>
              <w:t xml:space="preserve">43.00020</w:t>
            </w:r>
          </w:p>
        </w:tc>
        <w:tc>
          <w:p>
            <w:pPr>
              <w:pStyle w:val="Compact"/>
              <w:jc w:val="right"/>
            </w:pPr>
            <w:r>
              <w:t xml:space="preserve">0.0785920</w:t>
            </w:r>
          </w:p>
        </w:tc>
        <w:tc>
          <w:p>
            <w:pPr>
              <w:pStyle w:val="Compact"/>
              <w:jc w:val="right"/>
            </w:pPr>
            <w:r>
              <w:t xml:space="preserve">0.2884805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0.5763899</w:t>
            </w:r>
          </w:p>
        </w:tc>
        <w:tc>
          <w:p>
            <w:pPr>
              <w:pStyle w:val="Compact"/>
              <w:jc w:val="right"/>
            </w:pPr>
            <w:r>
              <w:t xml:space="preserve">0.0462641</w:t>
            </w:r>
          </w:p>
        </w:tc>
        <w:tc>
          <w:p>
            <w:pPr>
              <w:pStyle w:val="Compact"/>
              <w:jc w:val="right"/>
            </w:pPr>
            <w:r>
              <w:t xml:space="preserve">46.19839</w:t>
            </w:r>
          </w:p>
        </w:tc>
        <w:tc>
          <w:p>
            <w:pPr>
              <w:pStyle w:val="Compact"/>
              <w:jc w:val="right"/>
            </w:pPr>
            <w:r>
              <w:t xml:space="preserve">0.4832760</w:t>
            </w:r>
          </w:p>
        </w:tc>
        <w:tc>
          <w:p>
            <w:pPr>
              <w:pStyle w:val="Compact"/>
              <w:jc w:val="right"/>
            </w:pPr>
            <w:r>
              <w:t xml:space="preserve">0.6695038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0.2751677</w:t>
            </w:r>
          </w:p>
        </w:tc>
        <w:tc>
          <w:p>
            <w:pPr>
              <w:pStyle w:val="Compact"/>
              <w:jc w:val="right"/>
            </w:pPr>
            <w:r>
              <w:t xml:space="preserve">0.0528010</w:t>
            </w:r>
          </w:p>
        </w:tc>
        <w:tc>
          <w:p>
            <w:pPr>
              <w:pStyle w:val="Compact"/>
              <w:jc w:val="right"/>
            </w:pPr>
            <w:r>
              <w:t xml:space="preserve">45.59188</w:t>
            </w:r>
          </w:p>
        </w:tc>
        <w:tc>
          <w:p>
            <w:pPr>
              <w:pStyle w:val="Compact"/>
              <w:jc w:val="right"/>
            </w:pPr>
            <w:r>
              <w:t xml:space="preserve">0.1688592</w:t>
            </w:r>
          </w:p>
        </w:tc>
        <w:tc>
          <w:p>
            <w:pPr>
              <w:pStyle w:val="Compact"/>
              <w:jc w:val="right"/>
            </w:pPr>
            <w:r>
              <w:t xml:space="preserve">0.3814763</w:t>
            </w:r>
          </w:p>
        </w:tc>
      </w:tr>
    </w:tbl>
    <w:p>
      <w:pPr>
        <w:pStyle w:val="Heading3"/>
      </w:pPr>
      <w:bookmarkStart w:id="23" w:name="X00a04c6871d5a840e2d8a215388abbda03abe04"/>
      <w:r>
        <w:t xml:space="preserve">Table S3. Contrasts from GLS for compensation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-0.3928537</w:t>
            </w:r>
          </w:p>
        </w:tc>
        <w:tc>
          <w:p>
            <w:pPr>
              <w:pStyle w:val="Compact"/>
              <w:jc w:val="right"/>
            </w:pPr>
            <w:r>
              <w:t xml:space="preserve">0.0689413</w:t>
            </w:r>
          </w:p>
        </w:tc>
        <w:tc>
          <w:p>
            <w:pPr>
              <w:pStyle w:val="Compact"/>
              <w:jc w:val="right"/>
            </w:pPr>
            <w:r>
              <w:t xml:space="preserve">46.70328</w:t>
            </w:r>
          </w:p>
        </w:tc>
        <w:tc>
          <w:p>
            <w:pPr>
              <w:pStyle w:val="Compact"/>
              <w:jc w:val="right"/>
            </w:pPr>
            <w:r>
              <w:t xml:space="preserve">-5.698378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-0.0916315</w:t>
            </w:r>
          </w:p>
        </w:tc>
        <w:tc>
          <w:p>
            <w:pPr>
              <w:pStyle w:val="Compact"/>
              <w:jc w:val="right"/>
            </w:pPr>
            <w:r>
              <w:t xml:space="preserve">0.0741194</w:t>
            </w:r>
          </w:p>
        </w:tc>
        <w:tc>
          <w:p>
            <w:pPr>
              <w:pStyle w:val="Compact"/>
              <w:jc w:val="right"/>
            </w:pPr>
            <w:r>
              <w:t xml:space="preserve">44.37665</w:t>
            </w:r>
          </w:p>
        </w:tc>
        <w:tc>
          <w:p>
            <w:pPr>
              <w:pStyle w:val="Compact"/>
              <w:jc w:val="right"/>
            </w:pPr>
            <w:r>
              <w:t xml:space="preserve">-1.236269</w:t>
            </w:r>
          </w:p>
        </w:tc>
        <w:tc>
          <w:p>
            <w:pPr>
              <w:pStyle w:val="Compact"/>
              <w:jc w:val="right"/>
            </w:pPr>
            <w:r>
              <w:t xml:space="preserve">0.4385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0.3012222</w:t>
            </w:r>
          </w:p>
        </w:tc>
        <w:tc>
          <w:p>
            <w:pPr>
              <w:pStyle w:val="Compact"/>
              <w:jc w:val="right"/>
            </w:pPr>
            <w:r>
              <w:t xml:space="preserve">0.0694989</w:t>
            </w:r>
          </w:p>
        </w:tc>
        <w:tc>
          <w:p>
            <w:pPr>
              <w:pStyle w:val="Compact"/>
              <w:jc w:val="right"/>
            </w:pPr>
            <w:r>
              <w:t xml:space="preserve">48.30465</w:t>
            </w:r>
          </w:p>
        </w:tc>
        <w:tc>
          <w:p>
            <w:pPr>
              <w:pStyle w:val="Compact"/>
              <w:jc w:val="right"/>
            </w:pPr>
            <w:r>
              <w:t xml:space="preserve">4.334200</w:t>
            </w:r>
          </w:p>
        </w:tc>
        <w:tc>
          <w:p>
            <w:pPr>
              <w:pStyle w:val="Compact"/>
              <w:jc w:val="right"/>
            </w:pPr>
            <w:r>
              <w:t xml:space="preserve">0.0002</w:t>
            </w:r>
          </w:p>
        </w:tc>
      </w:tr>
    </w:tbl>
    <w:p>
      <w:r>
        <w:br w:type="page"/>
      </w:r>
    </w:p>
    <w:p>
      <w:pPr>
        <w:pStyle w:val="Heading1"/>
      </w:pPr>
      <w:bookmarkStart w:id="24" w:name="total-energy-use"/>
      <w:r>
        <w:t xml:space="preserve">Total energy use</w:t>
      </w:r>
      <w:bookmarkEnd w:id="24"/>
    </w:p>
    <w:p>
      <w:pPr>
        <w:pStyle w:val="Heading3"/>
      </w:pPr>
      <w:bookmarkStart w:id="25" w:name="X9800cf9fb10aceef7644c5a98495a8b821c1016"/>
      <w:r>
        <w:t xml:space="preserve">Table S4. Coefficients from GLS on total energy ratio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0.5016731</w:t>
            </w:r>
          </w:p>
        </w:tc>
        <w:tc>
          <w:p>
            <w:pPr>
              <w:pStyle w:val="Compact"/>
              <w:jc w:val="right"/>
            </w:pPr>
            <w:r>
              <w:t xml:space="preserve">0.0271176</w:t>
            </w:r>
          </w:p>
        </w:tc>
        <w:tc>
          <w:p>
            <w:pPr>
              <w:pStyle w:val="Compact"/>
              <w:jc w:val="right"/>
            </w:pPr>
            <w:r>
              <w:t xml:space="preserve">18.499880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0.1413504</w:t>
            </w:r>
          </w:p>
        </w:tc>
        <w:tc>
          <w:p>
            <w:pPr>
              <w:pStyle w:val="Compact"/>
              <w:jc w:val="right"/>
            </w:pPr>
            <w:r>
              <w:t xml:space="preserve">0.0477646</w:t>
            </w:r>
          </w:p>
        </w:tc>
        <w:tc>
          <w:p>
            <w:pPr>
              <w:pStyle w:val="Compact"/>
              <w:jc w:val="right"/>
            </w:pPr>
            <w:r>
              <w:t xml:space="preserve">2.959316</w:t>
            </w:r>
          </w:p>
        </w:tc>
        <w:tc>
          <w:p>
            <w:pPr>
              <w:pStyle w:val="Compact"/>
              <w:jc w:val="right"/>
            </w:pPr>
            <w:r>
              <w:t xml:space="preserve">0.0033001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-0.2503659</w:t>
            </w:r>
          </w:p>
        </w:tc>
        <w:tc>
          <w:p>
            <w:pPr>
              <w:pStyle w:val="Compact"/>
              <w:jc w:val="right"/>
            </w:pPr>
            <w:r>
              <w:t xml:space="preserve">0.0429312</w:t>
            </w:r>
          </w:p>
        </w:tc>
        <w:tc>
          <w:p>
            <w:pPr>
              <w:pStyle w:val="Compact"/>
              <w:jc w:val="right"/>
            </w:pPr>
            <w:r>
              <w:t xml:space="preserve">-5.831790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</w:tbl>
    <w:p>
      <w:pPr>
        <w:pStyle w:val="Heading3"/>
      </w:pPr>
      <w:bookmarkStart w:id="26" w:name="Xa0e8a39b36e57402cb38ff97e5cae6f74375220"/>
      <w:r>
        <w:t xml:space="preserve">Table S5. Estimates from GLS on total energy ratio</w:t>
      </w:r>
      <w:bookmarkEnd w:id="2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emmean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lower.CL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upper.CL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0.2995118</w:t>
            </w:r>
          </w:p>
        </w:tc>
        <w:tc>
          <w:p>
            <w:pPr>
              <w:pStyle w:val="Compact"/>
              <w:jc w:val="right"/>
            </w:pPr>
            <w:r>
              <w:t xml:space="preserve">0.0475806</w:t>
            </w:r>
          </w:p>
        </w:tc>
        <w:tc>
          <w:p>
            <w:pPr>
              <w:pStyle w:val="Compact"/>
              <w:jc w:val="right"/>
            </w:pPr>
            <w:r>
              <w:t xml:space="preserve">36.07948</w:t>
            </w:r>
          </w:p>
        </w:tc>
        <w:tc>
          <w:p>
            <w:pPr>
              <w:pStyle w:val="Compact"/>
              <w:jc w:val="right"/>
            </w:pPr>
            <w:r>
              <w:t xml:space="preserve">0.2030213</w:t>
            </w:r>
          </w:p>
        </w:tc>
        <w:tc>
          <w:p>
            <w:pPr>
              <w:pStyle w:val="Compact"/>
              <w:jc w:val="right"/>
            </w:pPr>
            <w:r>
              <w:t xml:space="preserve">0.3960023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0.7060960</w:t>
            </w:r>
          </w:p>
        </w:tc>
        <w:tc>
          <w:p>
            <w:pPr>
              <w:pStyle w:val="Compact"/>
              <w:jc w:val="right"/>
            </w:pPr>
            <w:r>
              <w:t xml:space="preserve">0.0419773</w:t>
            </w:r>
          </w:p>
        </w:tc>
        <w:tc>
          <w:p>
            <w:pPr>
              <w:pStyle w:val="Compact"/>
              <w:jc w:val="right"/>
            </w:pPr>
            <w:r>
              <w:t xml:space="preserve">38.39277</w:t>
            </w:r>
          </w:p>
        </w:tc>
        <w:tc>
          <w:p>
            <w:pPr>
              <w:pStyle w:val="Compact"/>
              <w:jc w:val="right"/>
            </w:pPr>
            <w:r>
              <w:t xml:space="preserve">0.6211459</w:t>
            </w:r>
          </w:p>
        </w:tc>
        <w:tc>
          <w:p>
            <w:pPr>
              <w:pStyle w:val="Compact"/>
              <w:jc w:val="right"/>
            </w:pPr>
            <w:r>
              <w:t xml:space="preserve">0.7910460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0.4994115</w:t>
            </w:r>
          </w:p>
        </w:tc>
        <w:tc>
          <w:p>
            <w:pPr>
              <w:pStyle w:val="Compact"/>
              <w:jc w:val="right"/>
            </w:pPr>
            <w:r>
              <w:t xml:space="preserve">0.0480066</w:t>
            </w:r>
          </w:p>
        </w:tc>
        <w:tc>
          <w:p>
            <w:pPr>
              <w:pStyle w:val="Compact"/>
              <w:jc w:val="right"/>
            </w:pPr>
            <w:r>
              <w:t xml:space="preserve">37.50364</w:t>
            </w:r>
          </w:p>
        </w:tc>
        <w:tc>
          <w:p>
            <w:pPr>
              <w:pStyle w:val="Compact"/>
              <w:jc w:val="right"/>
            </w:pPr>
            <w:r>
              <w:t xml:space="preserve">0.4021849</w:t>
            </w:r>
          </w:p>
        </w:tc>
        <w:tc>
          <w:p>
            <w:pPr>
              <w:pStyle w:val="Compact"/>
              <w:jc w:val="right"/>
            </w:pPr>
            <w:r>
              <w:t xml:space="preserve">0.5966381</w:t>
            </w:r>
          </w:p>
        </w:tc>
      </w:tr>
    </w:tbl>
    <w:p>
      <w:pPr>
        <w:pStyle w:val="Heading3"/>
      </w:pPr>
      <w:bookmarkStart w:id="27" w:name="X67260b646fdf9ce9affa530874e1bb62c1911f3"/>
      <w:r>
        <w:t xml:space="preserve">Table S6. Contrasts from GLS on total energy ratio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-0.4065842</w:t>
            </w:r>
          </w:p>
        </w:tc>
        <w:tc>
          <w:p>
            <w:pPr>
              <w:pStyle w:val="Compact"/>
              <w:jc w:val="right"/>
            </w:pPr>
            <w:r>
              <w:t xml:space="preserve">0.0623398</w:t>
            </w:r>
          </w:p>
        </w:tc>
        <w:tc>
          <w:p>
            <w:pPr>
              <w:pStyle w:val="Compact"/>
              <w:jc w:val="right"/>
            </w:pPr>
            <w:r>
              <w:t xml:space="preserve">40.38396</w:t>
            </w:r>
          </w:p>
        </w:tc>
        <w:tc>
          <w:p>
            <w:pPr>
              <w:pStyle w:val="Compact"/>
              <w:jc w:val="right"/>
            </w:pPr>
            <w:r>
              <w:t xml:space="preserve">-6.522060</w:t>
            </w:r>
          </w:p>
        </w:tc>
        <w:tc>
          <w:p>
            <w:pPr>
              <w:pStyle w:val="Compact"/>
              <w:jc w:val="right"/>
            </w:pPr>
            <w:r>
              <w:t xml:space="preserve">0.0000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-0.1998997</w:t>
            </w:r>
          </w:p>
        </w:tc>
        <w:tc>
          <w:p>
            <w:pPr>
              <w:pStyle w:val="Compact"/>
              <w:jc w:val="right"/>
            </w:pPr>
            <w:r>
              <w:t xml:space="preserve">0.0675493</w:t>
            </w:r>
          </w:p>
        </w:tc>
        <w:tc>
          <w:p>
            <w:pPr>
              <w:pStyle w:val="Compact"/>
              <w:jc w:val="right"/>
            </w:pPr>
            <w:r>
              <w:t xml:space="preserve">37.00046</w:t>
            </w:r>
          </w:p>
        </w:tc>
        <w:tc>
          <w:p>
            <w:pPr>
              <w:pStyle w:val="Compact"/>
              <w:jc w:val="right"/>
            </w:pPr>
            <w:r>
              <w:t xml:space="preserve">-2.959316</w:t>
            </w:r>
          </w:p>
        </w:tc>
        <w:tc>
          <w:p>
            <w:pPr>
              <w:pStyle w:val="Compact"/>
              <w:jc w:val="right"/>
            </w:pPr>
            <w:r>
              <w:t xml:space="preserve">0.0145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0.2066845</w:t>
            </w:r>
          </w:p>
        </w:tc>
        <w:tc>
          <w:p>
            <w:pPr>
              <w:pStyle w:val="Compact"/>
              <w:jc w:val="right"/>
            </w:pPr>
            <w:r>
              <w:t xml:space="preserve">0.0626456</w:t>
            </w:r>
          </w:p>
        </w:tc>
        <w:tc>
          <w:p>
            <w:pPr>
              <w:pStyle w:val="Compact"/>
              <w:jc w:val="right"/>
            </w:pPr>
            <w:r>
              <w:t xml:space="preserve">41.31271</w:t>
            </w:r>
          </w:p>
        </w:tc>
        <w:tc>
          <w:p>
            <w:pPr>
              <w:pStyle w:val="Compact"/>
              <w:jc w:val="right"/>
            </w:pPr>
            <w:r>
              <w:t xml:space="preserve">3.299267</w:t>
            </w:r>
          </w:p>
        </w:tc>
        <w:tc>
          <w:p>
            <w:pPr>
              <w:pStyle w:val="Compact"/>
              <w:jc w:val="right"/>
            </w:pPr>
            <w:r>
              <w:t xml:space="preserve">0.0056</w:t>
            </w:r>
          </w:p>
        </w:tc>
      </w:tr>
    </w:tbl>
    <w:p>
      <w:r>
        <w:br w:type="page"/>
      </w:r>
    </w:p>
    <w:p>
      <w:pPr>
        <w:pStyle w:val="Heading1"/>
      </w:pPr>
      <w:bookmarkStart w:id="28" w:name="kangaroo-rat-proportional-energy-use"/>
      <w:r>
        <w:t xml:space="preserve">Kangaroo rat proportional energy use</w:t>
      </w:r>
      <w:bookmarkEnd w:id="28"/>
    </w:p>
    <w:p>
      <w:pPr>
        <w:pStyle w:val="Heading3"/>
      </w:pPr>
      <w:bookmarkStart w:id="29" w:name="Xaacca3703949926200e48e2fe4abb8bcb7c527b"/>
      <w:r>
        <w:t xml:space="preserve">Table S7. Coefficients from GLM on Dipodomys energy use.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1.4032480</w:t>
            </w:r>
          </w:p>
        </w:tc>
        <w:tc>
          <w:p>
            <w:pPr>
              <w:pStyle w:val="Compact"/>
              <w:jc w:val="right"/>
            </w:pPr>
            <w:r>
              <w:t xml:space="preserve">0.1503201</w:t>
            </w:r>
          </w:p>
        </w:tc>
        <w:tc>
          <w:p>
            <w:pPr>
              <w:pStyle w:val="Compact"/>
              <w:jc w:val="right"/>
            </w:pPr>
            <w:r>
              <w:t xml:space="preserve">9.335068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-1.1000833</w:t>
            </w:r>
          </w:p>
        </w:tc>
        <w:tc>
          <w:p>
            <w:pPr>
              <w:pStyle w:val="Compact"/>
              <w:jc w:val="right"/>
            </w:pPr>
            <w:r>
              <w:t xml:space="preserve">0.2871738</w:t>
            </w:r>
          </w:p>
        </w:tc>
        <w:tc>
          <w:p>
            <w:pPr>
              <w:pStyle w:val="Compact"/>
              <w:jc w:val="right"/>
            </w:pPr>
            <w:r>
              <w:t xml:space="preserve">-3.830723</w:t>
            </w:r>
          </w:p>
        </w:tc>
        <w:tc>
          <w:p>
            <w:pPr>
              <w:pStyle w:val="Compact"/>
              <w:jc w:val="right"/>
            </w:pPr>
            <w:r>
              <w:t xml:space="preserve">0.0001278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oera.Q</w:t>
            </w:r>
          </w:p>
        </w:tc>
        <w:tc>
          <w:p>
            <w:pPr>
              <w:pStyle w:val="Compact"/>
              <w:jc w:val="right"/>
            </w:pPr>
            <w:r>
              <w:t xml:space="preserve">0.5855493</w:t>
            </w:r>
          </w:p>
        </w:tc>
        <w:tc>
          <w:p>
            <w:pPr>
              <w:pStyle w:val="Compact"/>
              <w:jc w:val="right"/>
            </w:pPr>
            <w:r>
              <w:t xml:space="preserve">0.2304516</w:t>
            </w:r>
          </w:p>
        </w:tc>
        <w:tc>
          <w:p>
            <w:pPr>
              <w:pStyle w:val="Compact"/>
              <w:jc w:val="right"/>
            </w:pPr>
            <w:r>
              <w:t xml:space="preserve">2.540878</w:t>
            </w:r>
          </w:p>
        </w:tc>
        <w:tc>
          <w:p>
            <w:pPr>
              <w:pStyle w:val="Compact"/>
              <w:jc w:val="right"/>
            </w:pPr>
            <w:r>
              <w:t xml:space="preserve">0.0110574</w:t>
            </w:r>
          </w:p>
        </w:tc>
      </w:tr>
    </w:tbl>
    <w:p>
      <w:pPr>
        <w:pStyle w:val="Heading3"/>
      </w:pPr>
      <w:bookmarkStart w:id="30" w:name="Xa0bf79124bcaa5b814578fd6ae8d5f2e8b269a5"/>
      <w:r>
        <w:t xml:space="preserve">Table S8. Estimates from GLM on Dipodomys energy use.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</w:t>
            </w:r>
          </w:p>
        </w:tc>
        <w:tc>
          <w:p>
            <w:pPr>
              <w:pStyle w:val="Compact"/>
              <w:jc w:val="right"/>
            </w:pPr>
            <w:r>
              <w:t xml:space="preserve">0.9183528</w:t>
            </w:r>
          </w:p>
        </w:tc>
        <w:tc>
          <w:p>
            <w:pPr>
              <w:pStyle w:val="Compact"/>
              <w:jc w:val="right"/>
            </w:pPr>
            <w:r>
              <w:t xml:space="preserve">0.0256462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0.8680872</w:t>
            </w:r>
          </w:p>
        </w:tc>
        <w:tc>
          <w:p>
            <w:pPr>
              <w:pStyle w:val="Compact"/>
              <w:jc w:val="right"/>
            </w:pPr>
            <w:r>
              <w:t xml:space="preserve">0.9686183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0.7160901</w:t>
            </w:r>
          </w:p>
        </w:tc>
        <w:tc>
          <w:p>
            <w:pPr>
              <w:pStyle w:val="Compact"/>
              <w:jc w:val="right"/>
            </w:pPr>
            <w:r>
              <w:t xml:space="preserve">0.0398537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0.6379782</w:t>
            </w:r>
          </w:p>
        </w:tc>
        <w:tc>
          <w:p>
            <w:pPr>
              <w:pStyle w:val="Compact"/>
              <w:jc w:val="right"/>
            </w:pPr>
            <w:r>
              <w:t xml:space="preserve">0.7942020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0.7035835</w:t>
            </w:r>
          </w:p>
        </w:tc>
        <w:tc>
          <w:p>
            <w:pPr>
              <w:pStyle w:val="Compact"/>
              <w:jc w:val="right"/>
            </w:pPr>
            <w:r>
              <w:t xml:space="preserve">0.0456677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0.6140765</w:t>
            </w:r>
          </w:p>
        </w:tc>
        <w:tc>
          <w:p>
            <w:pPr>
              <w:pStyle w:val="Compact"/>
              <w:jc w:val="right"/>
            </w:pPr>
            <w:r>
              <w:t xml:space="preserve">0.7930905</w:t>
            </w:r>
          </w:p>
        </w:tc>
      </w:tr>
    </w:tbl>
    <w:p>
      <w:pPr>
        <w:pStyle w:val="Heading3"/>
      </w:pPr>
      <w:bookmarkStart w:id="31" w:name="X4bcb9b798c4acc7113894542ff26f1f7aec6345"/>
      <w:r>
        <w:t xml:space="preserve">Table S9. Contrasts from GLM on Dipodomys energy use.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0.2022627</w:t>
            </w:r>
          </w:p>
        </w:tc>
        <w:tc>
          <w:p>
            <w:pPr>
              <w:pStyle w:val="Compact"/>
              <w:jc w:val="right"/>
            </w:pPr>
            <w:r>
              <w:t xml:space="preserve">0.0473925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4.2678236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a_pre_pb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0.2147693</w:t>
            </w:r>
          </w:p>
        </w:tc>
        <w:tc>
          <w:p>
            <w:pPr>
              <w:pStyle w:val="Compact"/>
              <w:jc w:val="right"/>
            </w:pPr>
            <w:r>
              <w:t xml:space="preserve">0.0523762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4.1005151</w:t>
            </w:r>
          </w:p>
        </w:tc>
        <w:tc>
          <w:p>
            <w:pPr>
              <w:pStyle w:val="Compact"/>
              <w:jc w:val="right"/>
            </w:pPr>
            <w:r>
              <w:t xml:space="preserve">0.0001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0.0125066</w:t>
            </w:r>
          </w:p>
        </w:tc>
        <w:tc>
          <w:p>
            <w:pPr>
              <w:pStyle w:val="Compact"/>
              <w:jc w:val="right"/>
            </w:pPr>
            <w:r>
              <w:t xml:space="preserve">0.0606124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0.2063368</w:t>
            </w:r>
          </w:p>
        </w:tc>
        <w:tc>
          <w:p>
            <w:pPr>
              <w:pStyle w:val="Compact"/>
              <w:jc w:val="right"/>
            </w:pPr>
            <w:r>
              <w:t xml:space="preserve">0.9768</w:t>
            </w:r>
          </w:p>
        </w:tc>
      </w:tr>
    </w:tbl>
    <w:p>
      <w:r>
        <w:br w:type="page"/>
      </w:r>
    </w:p>
    <w:p>
      <w:pPr>
        <w:pStyle w:val="Heading1"/>
      </w:pPr>
      <w:bookmarkStart w:id="32" w:name="c.-baileyi-proportional-energy-use"/>
      <w:r>
        <w:t xml:space="preserve">C. baileyi proportional energy use</w:t>
      </w:r>
      <w:bookmarkEnd w:id="32"/>
    </w:p>
    <w:p>
      <w:pPr>
        <w:pStyle w:val="Heading3"/>
      </w:pPr>
      <w:bookmarkStart w:id="33" w:name="X042f314f0be099ef56f2f4df8def9fc86b747d4"/>
      <w:r>
        <w:t xml:space="preserve">Table S10. Coefficients from GLM on C. baileyi energy use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Pr(&gt;|z|)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-1.574028</w:t>
            </w:r>
          </w:p>
        </w:tc>
        <w:tc>
          <w:p>
            <w:pPr>
              <w:pStyle w:val="Compact"/>
              <w:jc w:val="right"/>
            </w:pPr>
            <w:r>
              <w:t xml:space="preserve">0.1670168</w:t>
            </w:r>
          </w:p>
        </w:tc>
        <w:tc>
          <w:p>
            <w:pPr>
              <w:pStyle w:val="Compact"/>
              <w:jc w:val="right"/>
            </w:pPr>
            <w:r>
              <w:t xml:space="preserve">-9.424368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oera.L</w:t>
            </w:r>
          </w:p>
        </w:tc>
        <w:tc>
          <w:p>
            <w:pPr>
              <w:pStyle w:val="Compact"/>
              <w:jc w:val="right"/>
            </w:pPr>
            <w:r>
              <w:t xml:space="preserve">-1.409273</w:t>
            </w:r>
          </w:p>
        </w:tc>
        <w:tc>
          <w:p>
            <w:pPr>
              <w:pStyle w:val="Compact"/>
              <w:jc w:val="right"/>
            </w:pPr>
            <w:r>
              <w:t xml:space="preserve">0.2010398</w:t>
            </w:r>
          </w:p>
        </w:tc>
        <w:tc>
          <w:p>
            <w:pPr>
              <w:pStyle w:val="Compact"/>
              <w:jc w:val="right"/>
            </w:pPr>
            <w:r>
              <w:t xml:space="preserve">-7.009921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oplottype.L</w:t>
            </w:r>
          </w:p>
        </w:tc>
        <w:tc>
          <w:p>
            <w:pPr>
              <w:pStyle w:val="Compact"/>
              <w:jc w:val="right"/>
            </w:pPr>
            <w:r>
              <w:t xml:space="preserve">2.184896</w:t>
            </w:r>
          </w:p>
        </w:tc>
        <w:tc>
          <w:p>
            <w:pPr>
              <w:pStyle w:val="Compact"/>
              <w:jc w:val="right"/>
            </w:pPr>
            <w:r>
              <w:t xml:space="preserve">0.2267112</w:t>
            </w:r>
          </w:p>
        </w:tc>
        <w:tc>
          <w:p>
            <w:pPr>
              <w:pStyle w:val="Compact"/>
              <w:jc w:val="right"/>
            </w:pPr>
            <w:r>
              <w:t xml:space="preserve">9.637355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34" w:name="Xaf2cc529bbcfa9359df2763af8b138cfdf5f876"/>
      <w:r>
        <w:t xml:space="preserve">Table S11. Estimates from GLM on C. baileyi energy use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asymp.LCL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asymp.UCL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</w:t>
            </w:r>
          </w:p>
        </w:tc>
        <w:tc>
          <w:p>
            <w:pPr>
              <w:pStyle w:val="Compact"/>
              <w:jc w:val="right"/>
            </w:pPr>
            <w:r>
              <w:t xml:space="preserve">0.3595031</w:t>
            </w:r>
          </w:p>
        </w:tc>
        <w:tc>
          <w:p>
            <w:pPr>
              <w:pStyle w:val="Compact"/>
              <w:jc w:val="right"/>
            </w:pPr>
            <w:r>
              <w:t xml:space="preserve">0.0396644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0.2817622</w:t>
            </w:r>
          </w:p>
        </w:tc>
        <w:tc>
          <w:p>
            <w:pPr>
              <w:pStyle w:val="Compact"/>
              <w:jc w:val="right"/>
            </w:pPr>
            <w:r>
              <w:t xml:space="preserve">0.4372440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0.0710590</w:t>
            </w:r>
          </w:p>
        </w:tc>
        <w:tc>
          <w:p>
            <w:pPr>
              <w:pStyle w:val="Compact"/>
              <w:jc w:val="right"/>
            </w:pPr>
            <w:r>
              <w:t xml:space="preserve">0.0170265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0.0376876</w:t>
            </w:r>
          </w:p>
        </w:tc>
        <w:tc>
          <w:p>
            <w:pPr>
              <w:pStyle w:val="Compact"/>
              <w:jc w:val="right"/>
            </w:pPr>
            <w:r>
              <w:t xml:space="preserve">0.1044304</w:t>
            </w:r>
          </w:p>
        </w:tc>
      </w:tr>
    </w:tbl>
    <w:p>
      <w:pPr>
        <w:pStyle w:val="Heading3"/>
      </w:pPr>
      <w:bookmarkStart w:id="35" w:name="X13dd4a093ab02ccf005d07a1500ae8fa15d6159"/>
      <w:r>
        <w:t xml:space="preserve">Table S12. Contrasts from GLM on C. baileyi energy use.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contrast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z.ratio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b_pre_reorg - c_post_reorg</w:t>
            </w:r>
          </w:p>
        </w:tc>
        <w:tc>
          <w:p>
            <w:pPr>
              <w:pStyle w:val="Compact"/>
              <w:jc w:val="right"/>
            </w:pPr>
            <w:r>
              <w:t xml:space="preserve">0.2884441</w:t>
            </w:r>
          </w:p>
        </w:tc>
        <w:tc>
          <w:p>
            <w:pPr>
              <w:pStyle w:val="Compact"/>
              <w:jc w:val="right"/>
            </w:pPr>
            <w:r>
              <w:t xml:space="preserve">0.0403673</w:t>
            </w:r>
          </w:p>
        </w:tc>
        <w:tc>
          <w:p>
            <w:pPr>
              <w:pStyle w:val="Compact"/>
              <w:jc w:val="right"/>
            </w:pPr>
            <w:r>
              <w:t xml:space="preserve">Inf</w:t>
            </w:r>
          </w:p>
        </w:tc>
        <w:tc>
          <w:p>
            <w:pPr>
              <w:pStyle w:val="Compact"/>
              <w:jc w:val="right"/>
            </w:pPr>
            <w:r>
              <w:t xml:space="preserve">7.145484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sectPr w:rsidR="00BC0F0B" w:rsidRPr="008602E5">
      <w:headerReference w:type="even" r:id="rId10"/>
      <w:headerReference w:type="default" r:id="rId9"/>
      <w:footerReference w:type="even" r:id="rId14"/>
      <w:footerReference w:type="default" r:id="rId13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3815B" w14:textId="77777777" w:rsidR="00DC42B5" w:rsidRDefault="00DC42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CC686" w14:textId="77777777" w:rsidR="00DC42B5" w:rsidRDefault="00DC42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9FE3C" w14:textId="77777777" w:rsidR="00DC42B5" w:rsidRDefault="00DC42B5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33412024"/>
      <w:docPartObj>
        <w:docPartGallery w:val="Page Numbers (Top of Page)"/>
        <w:docPartUnique/>
      </w:docPartObj>
    </w:sdtPr>
    <w:sdtContent>
      <w:p w14:paraId="7BFF3719" w14:textId="3AF1E65F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CFA6DD9" w14:textId="77777777" w:rsidR="00DC42B5" w:rsidRDefault="00DC42B5" w:rsidP="00DC42B5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078371"/>
      <w:docPartObj>
        <w:docPartGallery w:val="Page Numbers (Top of Page)"/>
        <w:docPartUnique/>
      </w:docPartObj>
    </w:sdtPr>
    <w:sdtContent>
      <w:p w14:paraId="58974BEA" w14:textId="3D362074" w:rsidR="00DC42B5" w:rsidRDefault="00DC42B5" w:rsidP="00DE096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CA5B38B" w14:textId="784D0420" w:rsidR="00DC42B5" w:rsidRPr="00DC42B5" w:rsidRDefault="00DC42B5" w:rsidP="00DC42B5">
    <w:pPr>
      <w:pStyle w:val="Header"/>
      <w:tabs>
        <w:tab w:val="clear" w:pos="4680"/>
      </w:tabs>
      <w:ind w:right="360"/>
      <w:rPr>
        <w:lang w:val="en-US"/>
      </w:rPr>
    </w:pPr>
    <w:r>
      <w:rPr>
        <w:lang w:val="en-US"/>
      </w:rPr>
      <w:t>Diaz and Ernest</w:t>
    </w:r>
    <w:r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78BBF" w14:textId="77777777" w:rsidR="00DC42B5" w:rsidRDefault="00DC42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E810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2674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609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C8C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2882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3A4644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C8A7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04C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916A7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876B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169"/>
    <w:pPr>
      <w:spacing w:before="120" w:after="120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C9745C"/>
    <w:pPr>
      <w:keepNext/>
      <w:keepLines/>
      <w:spacing w:after="240" w:line="240" w:lineRule="auto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095375"/>
    <w:pPr>
      <w:keepNext/>
      <w:keepLines/>
      <w:outlineLvl w:val="2"/>
    </w:pPr>
    <w:rPr>
      <w:b/>
      <w:bCs/>
      <w:i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95375"/>
    <w:pPr>
      <w:keepNext/>
      <w:keepLines/>
      <w:spacing w:before="0" w:after="60"/>
    </w:pPr>
    <w:rPr>
      <w:b/>
      <w:bCs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8602E5"/>
    <w:pPr>
      <w:keepNext/>
      <w:keepLines/>
      <w:spacing w:before="0" w:after="3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2B5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C42B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2B5"/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C42B5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Id="rId14" Type="http://schemas.openxmlformats.org/officeDocument/2006/relationships/footer" Target="footer1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S1 - Full model results</dc:title>
  <dc:creator/>
  <cp:keywords/>
  <dcterms:created xsi:type="dcterms:W3CDTF">2021-12-28T14:38:24Z</dcterms:created>
  <dcterms:modified xsi:type="dcterms:W3CDTF">2021-12-28T14:38:24Z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subtitle">
    <vt:lpwstr>Supplemental information for Diaz and Ernest, “Maintenance of community function through compensation breaks down over time in a desert rodent community”. In review at Ecology.</vt:lpwstr>
  </property>
</Properties>
</file>