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4" w:name="X65efa2da1bfa2895dca61e838ed9a29f9420902"/>
      <w:r>
        <w:t xml:space="preserve">Table S1.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5" w:name="X4eec479fd7c5d92444953f22f8f2adb7b89ab6b"/>
      <w:r>
        <w:t xml:space="preserve">Table S2.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1997-2010</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2010-2020</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6" w:name="X00a04c6871d5a840e2d8a215388abbda03abe04"/>
      <w:r>
        <w:t xml:space="preserve">Table S3.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1997-2010 - 2010-2020</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9" w:name="X9800cf9fb10aceef7644c5a98495a8b821c1016"/>
      <w:r>
        <w:t xml:space="preserve">Table S4.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30" w:name="Xa0e8a39b36e57402cb38ff97e5cae6f74375220"/>
      <w:r>
        <w:t xml:space="preserve">Table S5.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1997-2010</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2010-2020</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31" w:name="X67260b646fdf9ce9affa530874e1bb62c1911f3"/>
      <w:r>
        <w:t xml:space="preserve">Table S6.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1997-2010 - 2010-2020</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 a binomial GLM with no temporal autocorrelation term,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4" w:name="Xaacca3703949926200e48e2fe4abb8bcb7c527b"/>
      <w:r>
        <w:t xml:space="preserve">Table S7.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5" w:name="Xa0bf79124bcaa5b814578fd6ae8d5f2e8b269a5"/>
      <w:r>
        <w:t xml:space="preserve">Table S8.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1997-2010</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2010-2020</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6" w:name="X4bcb9b798c4acc7113894542ff26f1f7aec6345"/>
      <w:r>
        <w:t xml:space="preserve">Table S9.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1.4950249</w:t>
            </w:r>
          </w:p>
        </w:tc>
        <w:tc>
          <w:p>
            <w:pPr>
              <w:pStyle w:val="Compact"/>
              <w:jc w:val="right"/>
            </w:pPr>
            <w:r>
              <w:t xml:space="preserve">0.3942281</w:t>
            </w:r>
          </w:p>
        </w:tc>
        <w:tc>
          <w:p>
            <w:pPr>
              <w:pStyle w:val="Compact"/>
              <w:jc w:val="right"/>
            </w:pPr>
            <w:r>
              <w:t xml:space="preserve">Inf</w:t>
            </w:r>
          </w:p>
        </w:tc>
        <w:tc>
          <w:p>
            <w:pPr>
              <w:pStyle w:val="Compact"/>
              <w:jc w:val="right"/>
            </w:pPr>
            <w:r>
              <w:t xml:space="preserve">3.7922836</w:t>
            </w:r>
          </w:p>
        </w:tc>
        <w:tc>
          <w:p>
            <w:pPr>
              <w:pStyle w:val="Compact"/>
              <w:jc w:val="right"/>
            </w:pPr>
            <w:r>
              <w:t xml:space="preserve">0.0004</w:t>
            </w:r>
          </w:p>
        </w:tc>
      </w:tr>
      <w:tr>
        <w:tc>
          <w:p>
            <w:pPr>
              <w:pStyle w:val="Compact"/>
              <w:jc w:val="left"/>
            </w:pPr>
            <w:r>
              <w:t xml:space="preserve">a_pre_pb - c_post_reorg</w:t>
            </w:r>
          </w:p>
        </w:tc>
        <w:tc>
          <w:p>
            <w:pPr>
              <w:pStyle w:val="Compact"/>
              <w:jc w:val="right"/>
            </w:pPr>
            <w:r>
              <w:t xml:space="preserve">1.5557527</w:t>
            </w:r>
          </w:p>
        </w:tc>
        <w:tc>
          <w:p>
            <w:pPr>
              <w:pStyle w:val="Compact"/>
              <w:jc w:val="right"/>
            </w:pPr>
            <w:r>
              <w:t xml:space="preserve">0.4061251</w:t>
            </w:r>
          </w:p>
        </w:tc>
        <w:tc>
          <w:p>
            <w:pPr>
              <w:pStyle w:val="Compact"/>
              <w:jc w:val="right"/>
            </w:pPr>
            <w:r>
              <w:t xml:space="preserve">Inf</w:t>
            </w:r>
          </w:p>
        </w:tc>
        <w:tc>
          <w:p>
            <w:pPr>
              <w:pStyle w:val="Compact"/>
              <w:jc w:val="right"/>
            </w:pPr>
            <w:r>
              <w:t xml:space="preserve">3.8307227</w:t>
            </w:r>
          </w:p>
        </w:tc>
        <w:tc>
          <w:p>
            <w:pPr>
              <w:pStyle w:val="Compact"/>
              <w:jc w:val="right"/>
            </w:pPr>
            <w:r>
              <w:t xml:space="preserve">0.0004</w:t>
            </w:r>
          </w:p>
        </w:tc>
      </w:tr>
      <w:tr>
        <w:tc>
          <w:p>
            <w:pPr>
              <w:pStyle w:val="Compact"/>
              <w:jc w:val="left"/>
            </w:pPr>
            <w:r>
              <w:t xml:space="preserve">b_pre_reorg - c_post_reorg</w:t>
            </w:r>
          </w:p>
        </w:tc>
        <w:tc>
          <w:p>
            <w:pPr>
              <w:pStyle w:val="Compact"/>
              <w:jc w:val="right"/>
            </w:pPr>
            <w:r>
              <w:t xml:space="preserve">0.0607279</w:t>
            </w:r>
          </w:p>
        </w:tc>
        <w:tc>
          <w:p>
            <w:pPr>
              <w:pStyle w:val="Compact"/>
              <w:jc w:val="right"/>
            </w:pPr>
            <w:r>
              <w:t xml:space="preserve">0.2938992</w:t>
            </w:r>
          </w:p>
        </w:tc>
        <w:tc>
          <w:p>
            <w:pPr>
              <w:pStyle w:val="Compact"/>
              <w:jc w:val="right"/>
            </w:pPr>
            <w:r>
              <w:t xml:space="preserve">Inf</w:t>
            </w:r>
          </w:p>
        </w:tc>
        <w:tc>
          <w:p>
            <w:pPr>
              <w:pStyle w:val="Compact"/>
              <w:jc w:val="right"/>
            </w:pPr>
            <w:r>
              <w:t xml:space="preserve">0.2066282</w:t>
            </w:r>
          </w:p>
        </w:tc>
        <w:tc>
          <w:p>
            <w:pPr>
              <w:pStyle w:val="Compact"/>
              <w:jc w:val="right"/>
            </w:pPr>
            <w:r>
              <w:t xml:space="preserve">0.9767</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ab451c9c59b0c02a717ae70d18182e2a6935f79"/>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 + treatment</w:t>
            </w:r>
          </w:p>
        </w:tc>
        <w:tc>
          <w:p>
            <w:pPr>
              <w:pStyle w:val="Compact"/>
              <w:jc w:val="right"/>
            </w:pPr>
            <w:r>
              <w:t xml:space="preserve">348.2975</w:t>
            </w:r>
          </w:p>
        </w:tc>
      </w:tr>
      <w:tr>
        <w:tc>
          <w:p>
            <w:pPr>
              <w:pStyle w:val="Compact"/>
              <w:jc w:val="left"/>
            </w:pPr>
            <w:r>
              <w:t xml:space="preserve">intercept</w:t>
            </w:r>
          </w:p>
        </w:tc>
        <w:tc>
          <w:p>
            <w:pPr>
              <w:pStyle w:val="Compact"/>
              <w:jc w:val="right"/>
            </w:pPr>
            <w:r>
              <w:t xml:space="preserve">541.3799</w:t>
            </w:r>
          </w:p>
        </w:tc>
      </w:tr>
    </w:tbl>
    <w:p>
      <w:pPr>
        <w:pStyle w:val="Heading3"/>
      </w:pPr>
      <w:bookmarkStart w:id="40" w:name="X042f314f0be099ef56f2f4df8def9fc86b747d4"/>
      <w:r>
        <w:t xml:space="preserve">Table S10.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41" w:name="Xaf2cc529bbcfa9359df2763af8b138cfdf5f876"/>
      <w:r>
        <w:t xml:space="preserve">Table S11.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0.1069314</w:t>
            </w:r>
          </w:p>
        </w:tc>
        <w:tc>
          <w:p>
            <w:pPr>
              <w:pStyle w:val="Compact"/>
              <w:jc w:val="right"/>
            </w:pPr>
            <w:r>
              <w:t xml:space="preserve">0.0258894</w:t>
            </w:r>
          </w:p>
        </w:tc>
        <w:tc>
          <w:p>
            <w:pPr>
              <w:pStyle w:val="Compact"/>
              <w:jc w:val="right"/>
            </w:pPr>
            <w:r>
              <w:t xml:space="preserve">Inf</w:t>
            </w:r>
          </w:p>
        </w:tc>
        <w:tc>
          <w:p>
            <w:pPr>
              <w:pStyle w:val="Compact"/>
              <w:jc w:val="right"/>
            </w:pPr>
            <w:r>
              <w:t xml:space="preserve">0.0561890</w:t>
            </w:r>
          </w:p>
        </w:tc>
        <w:tc>
          <w:p>
            <w:pPr>
              <w:pStyle w:val="Compact"/>
              <w:jc w:val="right"/>
            </w:pPr>
            <w:r>
              <w:t xml:space="preserve">0.1576737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0.7246076</w:t>
            </w:r>
          </w:p>
        </w:tc>
        <w:tc>
          <w:p>
            <w:pPr>
              <w:pStyle w:val="Compact"/>
              <w:jc w:val="right"/>
            </w:pPr>
            <w:r>
              <w:t xml:space="preserve">0.0385129</w:t>
            </w:r>
          </w:p>
        </w:tc>
        <w:tc>
          <w:p>
            <w:pPr>
              <w:pStyle w:val="Compact"/>
              <w:jc w:val="right"/>
            </w:pPr>
            <w:r>
              <w:t xml:space="preserve">Inf</w:t>
            </w:r>
          </w:p>
        </w:tc>
        <w:tc>
          <w:p>
            <w:pPr>
              <w:pStyle w:val="Compact"/>
              <w:jc w:val="right"/>
            </w:pPr>
            <w:r>
              <w:t xml:space="preserve">0.6491236</w:t>
            </w:r>
          </w:p>
        </w:tc>
        <w:tc>
          <w:p>
            <w:pPr>
              <w:pStyle w:val="Compact"/>
              <w:jc w:val="right"/>
            </w:pPr>
            <w:r>
              <w:t xml:space="preserve">0.8000915</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0.0160560</w:t>
            </w:r>
          </w:p>
        </w:tc>
        <w:tc>
          <w:p>
            <w:pPr>
              <w:pStyle w:val="Compact"/>
              <w:jc w:val="right"/>
            </w:pPr>
            <w:r>
              <w:t xml:space="preserve">0.0058224</w:t>
            </w:r>
          </w:p>
        </w:tc>
        <w:tc>
          <w:p>
            <w:pPr>
              <w:pStyle w:val="Compact"/>
              <w:jc w:val="right"/>
            </w:pPr>
            <w:r>
              <w:t xml:space="preserve">Inf</w:t>
            </w:r>
          </w:p>
        </w:tc>
        <w:tc>
          <w:p>
            <w:pPr>
              <w:pStyle w:val="Compact"/>
              <w:jc w:val="right"/>
            </w:pPr>
            <w:r>
              <w:t xml:space="preserve">0.0046444</w:t>
            </w:r>
          </w:p>
        </w:tc>
        <w:tc>
          <w:p>
            <w:pPr>
              <w:pStyle w:val="Compact"/>
              <w:jc w:val="right"/>
            </w:pPr>
            <w:r>
              <w:t xml:space="preserve">0.0274676</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0.2639419</w:t>
            </w:r>
          </w:p>
        </w:tc>
        <w:tc>
          <w:p>
            <w:pPr>
              <w:pStyle w:val="Compact"/>
              <w:jc w:val="right"/>
            </w:pPr>
            <w:r>
              <w:t xml:space="preserve">0.0428458</w:t>
            </w:r>
          </w:p>
        </w:tc>
        <w:tc>
          <w:p>
            <w:pPr>
              <w:pStyle w:val="Compact"/>
              <w:jc w:val="right"/>
            </w:pPr>
            <w:r>
              <w:t xml:space="preserve">Inf</w:t>
            </w:r>
          </w:p>
        </w:tc>
        <w:tc>
          <w:p>
            <w:pPr>
              <w:pStyle w:val="Compact"/>
              <w:jc w:val="right"/>
            </w:pPr>
            <w:r>
              <w:t xml:space="preserve">0.1799657</w:t>
            </w:r>
          </w:p>
        </w:tc>
        <w:tc>
          <w:p>
            <w:pPr>
              <w:pStyle w:val="Compact"/>
              <w:jc w:val="right"/>
            </w:pPr>
            <w:r>
              <w:t xml:space="preserve">0.3479181</w:t>
            </w:r>
          </w:p>
        </w:tc>
      </w:tr>
    </w:tbl>
    <w:p>
      <w:pPr>
        <w:pStyle w:val="Heading3"/>
      </w:pPr>
      <w:bookmarkStart w:id="42" w:name="X13dd4a093ab02ccf005d07a1500ae8fa15d6159"/>
      <w:r>
        <w:t xml:space="preserve">Table S12.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BC0F0B" w:rsidRPr="008602E5">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095375"/>
    <w:pPr>
      <w:keepNext/>
      <w:keepLines/>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Full analytical methods and model results</dc:title>
  <dc:creator>Fully annotated code and RMarkdown documents to reproduce these analyses are available at https://doi.org/10.5281/zenodo.5544362 and https://doi.org/10.5281/zenodo.5539881.</dc:creator>
  <cp:keywords/>
  <dcterms:created xsi:type="dcterms:W3CDTF">2022-01-06T12:36:09Z</dcterms:created>
  <dcterms:modified xsi:type="dcterms:W3CDTF">2022-01-06T12:36:09Z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