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11F61B78" w14:textId="7547855A" w:rsidR="002E0C35"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When it occurs, energetic compensation is consistent with a zero-sum competitive dynamic, in which resources not being used by one species are readily absorbed by other competitors, and by definition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rsidR="00604AED">
        <w:t xml:space="preserve">. </w:t>
      </w:r>
      <w:r w:rsidR="00A1042A">
        <w:t>In the latter case, while</w:t>
      </w:r>
      <w:r w:rsidR="00604AED">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rsidR="00604AED">
        <w:t xml:space="preserve"> </w:t>
      </w:r>
      <w:r w:rsidR="00F17CAD">
        <w:t>In this scenario, energetic compensation may be contingent on environmental conditions that allow complementary, but not identical, species to compensate for each other (</w:t>
      </w:r>
      <w:proofErr w:type="spellStart"/>
      <w:r w:rsidR="00F17CAD">
        <w:t>Loreau</w:t>
      </w:r>
      <w:proofErr w:type="spellEnd"/>
      <w:r w:rsidR="00F17CAD">
        <w:t xml:space="preserve">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w:t>
      </w:r>
      <w:r w:rsidR="002E0C35">
        <w:lastRenderedPageBreak/>
        <w:t>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57ECF96E" w:rsidR="00B7712D" w:rsidRPr="00B7712D" w:rsidRDefault="00B7712D" w:rsidP="00B7712D"/>
    <w:p w14:paraId="1EACD62D" w14:textId="32474E18" w:rsidR="00B06DD7" w:rsidRDefault="00B06DD7" w:rsidP="00B06DD7"/>
    <w:p w14:paraId="748BB5D3" w14:textId="6B2B24E6" w:rsidR="001B1354" w:rsidRDefault="001B1354" w:rsidP="001B1354">
      <w:pPr>
        <w:pStyle w:val="Heading1"/>
      </w:pPr>
      <w:r>
        <w:t>Methods</w:t>
      </w:r>
    </w:p>
    <w:p w14:paraId="71337BB8" w14:textId="17A55452" w:rsidR="001B1354" w:rsidRDefault="00E215A5" w:rsidP="00E215A5">
      <w:pPr>
        <w:pStyle w:val="Heading2"/>
      </w:pPr>
      <w:r w:rsidRPr="00E215A5">
        <w:t>Data</w:t>
      </w:r>
    </w:p>
    <w:p w14:paraId="79950C76" w14:textId="0648EB64" w:rsidR="003C0C41" w:rsidRDefault="003C0C41" w:rsidP="003C0C41">
      <w:pPr>
        <w:pStyle w:val="Heading2"/>
      </w:pPr>
      <w:r>
        <w:t>Rodent community energy use</w:t>
      </w:r>
    </w:p>
    <w:p w14:paraId="367B0BE2" w14:textId="77CAA1FD" w:rsidR="003C0C41" w:rsidRDefault="003C0C41" w:rsidP="003C0C41">
      <w:pPr>
        <w:rPr>
          <w:i/>
          <w:iCs/>
        </w:rPr>
      </w:pPr>
      <w:r>
        <w:rPr>
          <w:i/>
          <w:iCs/>
        </w:rPr>
        <w:t>Plant community composition</w:t>
      </w:r>
    </w:p>
    <w:p w14:paraId="33B56FE1" w14:textId="03AB9511" w:rsidR="003C0C41" w:rsidRPr="003C0C41" w:rsidRDefault="003C0C41" w:rsidP="003C0C41">
      <w:pPr>
        <w:rPr>
          <w:i/>
          <w:iCs/>
        </w:rPr>
      </w:pPr>
      <w:r>
        <w:rPr>
          <w:i/>
          <w:iCs/>
        </w:rPr>
        <w:t>Environmental variables</w:t>
      </w:r>
    </w:p>
    <w:p w14:paraId="265FDD8A" w14:textId="263FC57F" w:rsidR="001B1354" w:rsidRDefault="001B1354" w:rsidP="001B1354">
      <w:pPr>
        <w:pStyle w:val="Heading1"/>
      </w:pPr>
      <w:r>
        <w:t>Results</w:t>
      </w:r>
    </w:p>
    <w:p w14:paraId="778867BC" w14:textId="470085E4" w:rsidR="001B1354" w:rsidRDefault="001B1354" w:rsidP="001B1354"/>
    <w:p w14:paraId="7A1D598F" w14:textId="506D13AB" w:rsidR="001B1354" w:rsidRDefault="001B1354" w:rsidP="001B1354">
      <w:pPr>
        <w:pStyle w:val="Heading1"/>
      </w:pPr>
      <w:r>
        <w:t>Discussion</w:t>
      </w:r>
    </w:p>
    <w:p w14:paraId="039868AF" w14:textId="08F4A1B9" w:rsidR="001B1354" w:rsidRDefault="001B1354" w:rsidP="001B1354"/>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w:t>
      </w:r>
      <w:proofErr w:type="spellStart"/>
      <w:proofErr w:type="gramStart"/>
      <w:r>
        <w:t>controls:exclosures</w:t>
      </w:r>
      <w:proofErr w:type="spellEnd"/>
      <w:proofErr w:type="gramEnd"/>
      <w:r>
        <w:t xml:space="preserve">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E2309" w14:textId="77777777" w:rsidR="00000CCC" w:rsidRDefault="00000CCC" w:rsidP="008D23B8">
      <w:pPr>
        <w:spacing w:line="240" w:lineRule="auto"/>
      </w:pPr>
      <w:r>
        <w:separator/>
      </w:r>
    </w:p>
  </w:endnote>
  <w:endnote w:type="continuationSeparator" w:id="0">
    <w:p w14:paraId="0ACA4418" w14:textId="77777777" w:rsidR="00000CCC" w:rsidRDefault="00000CCC"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4BE30" w14:textId="77777777" w:rsidR="00000CCC" w:rsidRDefault="00000CCC" w:rsidP="008D23B8">
      <w:pPr>
        <w:spacing w:line="240" w:lineRule="auto"/>
      </w:pPr>
      <w:r>
        <w:separator/>
      </w:r>
    </w:p>
  </w:footnote>
  <w:footnote w:type="continuationSeparator" w:id="0">
    <w:p w14:paraId="47B5A583" w14:textId="77777777" w:rsidR="00000CCC" w:rsidRDefault="00000CCC"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43175"/>
    <w:rsid w:val="0006684D"/>
    <w:rsid w:val="00073AB3"/>
    <w:rsid w:val="000F3E4C"/>
    <w:rsid w:val="001069ED"/>
    <w:rsid w:val="00126EEB"/>
    <w:rsid w:val="00152F90"/>
    <w:rsid w:val="00182E34"/>
    <w:rsid w:val="001B1354"/>
    <w:rsid w:val="00280801"/>
    <w:rsid w:val="002C39F9"/>
    <w:rsid w:val="002E0C35"/>
    <w:rsid w:val="00324C9A"/>
    <w:rsid w:val="00333ADE"/>
    <w:rsid w:val="003551ED"/>
    <w:rsid w:val="003A0636"/>
    <w:rsid w:val="003C0C41"/>
    <w:rsid w:val="004008D9"/>
    <w:rsid w:val="00402F16"/>
    <w:rsid w:val="0046723D"/>
    <w:rsid w:val="005218E3"/>
    <w:rsid w:val="00524B55"/>
    <w:rsid w:val="005857DD"/>
    <w:rsid w:val="00604AED"/>
    <w:rsid w:val="0061206F"/>
    <w:rsid w:val="006A5381"/>
    <w:rsid w:val="006E4035"/>
    <w:rsid w:val="00710C35"/>
    <w:rsid w:val="007431BC"/>
    <w:rsid w:val="00852C1D"/>
    <w:rsid w:val="00881D77"/>
    <w:rsid w:val="008D23B8"/>
    <w:rsid w:val="00926AB0"/>
    <w:rsid w:val="009523A5"/>
    <w:rsid w:val="009C4A92"/>
    <w:rsid w:val="00A1042A"/>
    <w:rsid w:val="00A933A6"/>
    <w:rsid w:val="00AF718E"/>
    <w:rsid w:val="00B06DD7"/>
    <w:rsid w:val="00B7712D"/>
    <w:rsid w:val="00B94EB7"/>
    <w:rsid w:val="00BA7B61"/>
    <w:rsid w:val="00BE1C9F"/>
    <w:rsid w:val="00C058AF"/>
    <w:rsid w:val="00C13825"/>
    <w:rsid w:val="00D178FB"/>
    <w:rsid w:val="00E215A5"/>
    <w:rsid w:val="00EB292A"/>
    <w:rsid w:val="00F17CAD"/>
    <w:rsid w:val="00FD49D0"/>
    <w:rsid w:val="00FD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76</TotalTime>
  <Pages>10</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39</cp:revision>
  <dcterms:created xsi:type="dcterms:W3CDTF">2021-06-14T18:06:00Z</dcterms:created>
  <dcterms:modified xsi:type="dcterms:W3CDTF">2021-06-14T21:18:00Z</dcterms:modified>
</cp:coreProperties>
</file>