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31B7" w14:textId="77777777" w:rsidR="00787758" w:rsidRDefault="00B07A18">
      <w:pPr>
        <w:pStyle w:val="Title"/>
      </w:pPr>
      <w:r>
        <w:t>Appendix S4 - Covariates of rodent community change</w:t>
      </w:r>
    </w:p>
    <w:p w14:paraId="6A82017C" w14:textId="5A113A2B" w:rsidR="00787758" w:rsidRDefault="00B07A18">
      <w:pPr>
        <w:pStyle w:val="Subtitle"/>
      </w:pPr>
      <w:r>
        <w:t>Supplemental information for “Maintenance of community function through compensation breaks down over time in a desert rodent community”</w:t>
      </w:r>
      <w:r w:rsidR="007854FC">
        <w:t>, by Renata M. Diaz and S. K. Morgan Ernest</w:t>
      </w:r>
      <w:r w:rsidR="00745C2F">
        <w:t xml:space="preserve">, in </w:t>
      </w:r>
      <w:r w:rsidR="00745C2F">
        <w:rPr>
          <w:i/>
          <w:iCs/>
        </w:rPr>
        <w:t>Ecology</w:t>
      </w:r>
      <w:r>
        <w:t>.</w:t>
      </w:r>
    </w:p>
    <w:p w14:paraId="6F2EC15D" w14:textId="77777777" w:rsidR="0023130B" w:rsidRDefault="0023130B" w:rsidP="0023130B">
      <w:r>
        <w:t xml:space="preserve">Fully annotated code and RMarkdown documents to reproduce these analyses are available at </w:t>
      </w:r>
      <w:hyperlink r:id="rId7" w:history="1">
        <w:r w:rsidRPr="00EE4C34">
          <w:rPr>
            <w:rStyle w:val="Hyperlink"/>
          </w:rPr>
          <w:t>https://doi.org/10.5281/zenodo.5544361</w:t>
        </w:r>
      </w:hyperlink>
      <w:r>
        <w:t xml:space="preserve"> and </w:t>
      </w:r>
      <w:hyperlink r:id="rId8" w:history="1">
        <w:r w:rsidRPr="00EE4C34">
          <w:rPr>
            <w:rStyle w:val="Hyperlink"/>
          </w:rPr>
          <w:t>https://doi.org/10.5281/zenodo.5539880</w:t>
        </w:r>
      </w:hyperlink>
      <w:r>
        <w:t>.</w:t>
      </w:r>
    </w:p>
    <w:sdt>
      <w:sdtPr>
        <w:id w:val="1533528147"/>
        <w:docPartObj>
          <w:docPartGallery w:val="Table of Contents"/>
          <w:docPartUnique/>
        </w:docPartObj>
      </w:sdtPr>
      <w:sdtEndPr/>
      <w:sdtContent>
        <w:p w14:paraId="187FE13E" w14:textId="77777777" w:rsidR="00787758" w:rsidRDefault="00B07A18">
          <w:r>
            <w:t>Table of Contents</w:t>
          </w:r>
        </w:p>
        <w:p w14:paraId="7CF0D047" w14:textId="449ED957" w:rsidR="0000101E" w:rsidRDefault="00B07A18">
          <w:pPr>
            <w:pStyle w:val="TOC1"/>
            <w:tabs>
              <w:tab w:val="right" w:leader="dot" w:pos="9350"/>
            </w:tabs>
            <w:rPr>
              <w:noProof/>
            </w:rPr>
          </w:pPr>
          <w:r>
            <w:fldChar w:fldCharType="begin"/>
          </w:r>
          <w:r>
            <w:instrText>TOC \o "1-3" \h \z \u</w:instrText>
          </w:r>
          <w:r>
            <w:fldChar w:fldCharType="separate"/>
          </w:r>
          <w:hyperlink w:anchor="_Toc94106213" w:history="1">
            <w:r w:rsidR="0000101E" w:rsidRPr="00747DEB">
              <w:rPr>
                <w:rStyle w:val="Hyperlink"/>
                <w:noProof/>
              </w:rPr>
              <w:t>Appendix S2 Figure S1 - Covariates of rodent community change</w:t>
            </w:r>
            <w:r w:rsidR="0000101E">
              <w:rPr>
                <w:noProof/>
                <w:webHidden/>
              </w:rPr>
              <w:tab/>
            </w:r>
            <w:r w:rsidR="0000101E">
              <w:rPr>
                <w:noProof/>
                <w:webHidden/>
              </w:rPr>
              <w:fldChar w:fldCharType="begin"/>
            </w:r>
            <w:r w:rsidR="0000101E">
              <w:rPr>
                <w:noProof/>
                <w:webHidden/>
              </w:rPr>
              <w:instrText xml:space="preserve"> PAGEREF _Toc94106213 \h </w:instrText>
            </w:r>
            <w:r w:rsidR="0000101E">
              <w:rPr>
                <w:noProof/>
                <w:webHidden/>
              </w:rPr>
            </w:r>
            <w:r w:rsidR="0000101E">
              <w:rPr>
                <w:noProof/>
                <w:webHidden/>
              </w:rPr>
              <w:fldChar w:fldCharType="separate"/>
            </w:r>
            <w:r w:rsidR="00033386">
              <w:rPr>
                <w:noProof/>
                <w:webHidden/>
              </w:rPr>
              <w:t>2</w:t>
            </w:r>
            <w:r w:rsidR="0000101E">
              <w:rPr>
                <w:noProof/>
                <w:webHidden/>
              </w:rPr>
              <w:fldChar w:fldCharType="end"/>
            </w:r>
          </w:hyperlink>
        </w:p>
        <w:p w14:paraId="3D731BF2" w14:textId="5E257D7C" w:rsidR="0000101E" w:rsidRDefault="00DB35C9">
          <w:pPr>
            <w:pStyle w:val="TOC1"/>
            <w:tabs>
              <w:tab w:val="right" w:leader="dot" w:pos="9350"/>
            </w:tabs>
            <w:rPr>
              <w:noProof/>
            </w:rPr>
          </w:pPr>
          <w:hyperlink w:anchor="_Toc94106214" w:history="1">
            <w:r w:rsidR="0000101E" w:rsidRPr="00747DEB">
              <w:rPr>
                <w:rStyle w:val="Hyperlink"/>
                <w:noProof/>
              </w:rPr>
              <w:t>Legend</w:t>
            </w:r>
            <w:r w:rsidR="0000101E">
              <w:rPr>
                <w:noProof/>
                <w:webHidden/>
              </w:rPr>
              <w:tab/>
            </w:r>
            <w:r w:rsidR="0000101E">
              <w:rPr>
                <w:noProof/>
                <w:webHidden/>
              </w:rPr>
              <w:fldChar w:fldCharType="begin"/>
            </w:r>
            <w:r w:rsidR="0000101E">
              <w:rPr>
                <w:noProof/>
                <w:webHidden/>
              </w:rPr>
              <w:instrText xml:space="preserve"> PAGEREF _Toc94106214 \h </w:instrText>
            </w:r>
            <w:r w:rsidR="0000101E">
              <w:rPr>
                <w:noProof/>
                <w:webHidden/>
              </w:rPr>
            </w:r>
            <w:r w:rsidR="0000101E">
              <w:rPr>
                <w:noProof/>
                <w:webHidden/>
              </w:rPr>
              <w:fldChar w:fldCharType="separate"/>
            </w:r>
            <w:r w:rsidR="00033386">
              <w:rPr>
                <w:noProof/>
                <w:webHidden/>
              </w:rPr>
              <w:t>3</w:t>
            </w:r>
            <w:r w:rsidR="0000101E">
              <w:rPr>
                <w:noProof/>
                <w:webHidden/>
              </w:rPr>
              <w:fldChar w:fldCharType="end"/>
            </w:r>
          </w:hyperlink>
        </w:p>
        <w:p w14:paraId="0403D8FA" w14:textId="7B1ED736" w:rsidR="0000101E" w:rsidRDefault="00DB35C9">
          <w:pPr>
            <w:pStyle w:val="TOC1"/>
            <w:tabs>
              <w:tab w:val="right" w:leader="dot" w:pos="9350"/>
            </w:tabs>
            <w:rPr>
              <w:noProof/>
            </w:rPr>
          </w:pPr>
          <w:hyperlink w:anchor="_Toc94106215" w:history="1">
            <w:r w:rsidR="0000101E" w:rsidRPr="00747DEB">
              <w:rPr>
                <w:rStyle w:val="Hyperlink"/>
                <w:noProof/>
              </w:rPr>
              <w:t>References</w:t>
            </w:r>
            <w:r w:rsidR="0000101E">
              <w:rPr>
                <w:noProof/>
                <w:webHidden/>
              </w:rPr>
              <w:tab/>
            </w:r>
            <w:r w:rsidR="0000101E">
              <w:rPr>
                <w:noProof/>
                <w:webHidden/>
              </w:rPr>
              <w:fldChar w:fldCharType="begin"/>
            </w:r>
            <w:r w:rsidR="0000101E">
              <w:rPr>
                <w:noProof/>
                <w:webHidden/>
              </w:rPr>
              <w:instrText xml:space="preserve"> PAGEREF _Toc94106215 \h </w:instrText>
            </w:r>
            <w:r w:rsidR="0000101E">
              <w:rPr>
                <w:noProof/>
                <w:webHidden/>
              </w:rPr>
            </w:r>
            <w:r w:rsidR="0000101E">
              <w:rPr>
                <w:noProof/>
                <w:webHidden/>
              </w:rPr>
              <w:fldChar w:fldCharType="separate"/>
            </w:r>
            <w:r w:rsidR="00033386">
              <w:rPr>
                <w:noProof/>
                <w:webHidden/>
              </w:rPr>
              <w:t>4</w:t>
            </w:r>
            <w:r w:rsidR="0000101E">
              <w:rPr>
                <w:noProof/>
                <w:webHidden/>
              </w:rPr>
              <w:fldChar w:fldCharType="end"/>
            </w:r>
          </w:hyperlink>
        </w:p>
        <w:p w14:paraId="22A79BEE" w14:textId="77777777" w:rsidR="00787758" w:rsidRDefault="00B07A18">
          <w:r>
            <w:fldChar w:fldCharType="end"/>
          </w:r>
        </w:p>
      </w:sdtContent>
    </w:sdt>
    <w:p w14:paraId="1315BA47" w14:textId="50FBF013" w:rsidR="00787758" w:rsidRDefault="00B07A18">
      <w:pPr>
        <w:pStyle w:val="Heading1"/>
      </w:pPr>
      <w:bookmarkStart w:id="0" w:name="Xea5a4be1f3af2ca421fe85602195ba85792b372"/>
      <w:bookmarkStart w:id="1" w:name="_Toc94106213"/>
      <w:r>
        <w:lastRenderedPageBreak/>
        <w:t>Appendix S</w:t>
      </w:r>
      <w:r w:rsidR="0000101E">
        <w:t xml:space="preserve">4 </w:t>
      </w:r>
      <w:r>
        <w:t>Figure S1 - Covariates of rodent community change</w:t>
      </w:r>
      <w:bookmarkEnd w:id="0"/>
      <w:bookmarkEnd w:id="1"/>
    </w:p>
    <w:p w14:paraId="4397EDD7" w14:textId="77777777" w:rsidR="00787758" w:rsidRDefault="00B07A18">
      <w:r>
        <w:rPr>
          <w:noProof/>
        </w:rPr>
        <w:drawing>
          <wp:inline distT="0" distB="0" distL="0" distR="0" wp14:anchorId="5111D0B9" wp14:editId="33811EC7">
            <wp:extent cx="5943600" cy="6934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4_covariates_files/figure-docx/unnamed-chunk-4-1.png"/>
                    <pic:cNvPicPr>
                      <a:picLocks noChangeAspect="1" noChangeArrowheads="1"/>
                    </pic:cNvPicPr>
                  </pic:nvPicPr>
                  <pic:blipFill>
                    <a:blip r:embed="rId9"/>
                    <a:stretch>
                      <a:fillRect/>
                    </a:stretch>
                  </pic:blipFill>
                  <pic:spPr bwMode="auto">
                    <a:xfrm>
                      <a:off x="0" y="0"/>
                      <a:ext cx="5943600" cy="6934200"/>
                    </a:xfrm>
                    <a:prstGeom prst="rect">
                      <a:avLst/>
                    </a:prstGeom>
                    <a:noFill/>
                    <a:ln w="9525">
                      <a:noFill/>
                      <a:headEnd/>
                      <a:tailEnd/>
                    </a:ln>
                  </pic:spPr>
                </pic:pic>
              </a:graphicData>
            </a:graphic>
          </wp:inline>
        </w:drawing>
      </w:r>
    </w:p>
    <w:p w14:paraId="368C25DA" w14:textId="77777777" w:rsidR="00787758" w:rsidRDefault="00B07A18">
      <w:r>
        <w:br w:type="page"/>
      </w:r>
    </w:p>
    <w:p w14:paraId="3994E061" w14:textId="77777777" w:rsidR="00787758" w:rsidRDefault="00B07A18">
      <w:pPr>
        <w:pStyle w:val="Heading1"/>
      </w:pPr>
      <w:bookmarkStart w:id="2" w:name="legend"/>
      <w:bookmarkStart w:id="3" w:name="_Toc94106214"/>
      <w:r>
        <w:lastRenderedPageBreak/>
        <w:t>Legend</w:t>
      </w:r>
      <w:bookmarkEnd w:id="2"/>
      <w:bookmarkEnd w:id="3"/>
    </w:p>
    <w:p w14:paraId="1F70CE52" w14:textId="77777777" w:rsidR="00787758" w:rsidRDefault="00B07A18">
      <w:r>
        <w:rPr>
          <w:i/>
        </w:rPr>
        <w:t>Figure S1</w:t>
      </w:r>
      <w:r>
        <w:t>.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14:paraId="45A7D48A" w14:textId="77777777" w:rsidR="00787758" w:rsidRDefault="00B07A18">
      <w:r>
        <w:t>Total rodent energy use (A) is calculated as the total energy use of all granviores on control plots (</w:t>
      </w:r>
      <m:oMath>
        <m:r>
          <w:rPr>
            <w:rFonts w:ascii="Cambria Math" w:hAnsi="Cambria Math"/>
          </w:rPr>
          <m:t>Eto</m:t>
        </m:r>
        <m:sSub>
          <m:sSubPr>
            <m:ctrlPr>
              <w:rPr>
                <w:rFonts w:ascii="Cambria Math" w:hAnsi="Cambria Math"/>
              </w:rPr>
            </m:ctrlPr>
          </m:sSubPr>
          <m:e>
            <m:r>
              <w:rPr>
                <w:rFonts w:ascii="Cambria Math" w:hAnsi="Cambria Math"/>
              </w:rPr>
              <m:t>t</m:t>
            </m:r>
          </m:e>
          <m:sub>
            <m:r>
              <w:rPr>
                <w:rFonts w:ascii="Cambria Math" w:hAnsi="Cambria Math"/>
              </w:rPr>
              <m:t>C</m:t>
            </m:r>
          </m:sub>
        </m:sSub>
      </m:oMath>
      <w:r>
        <w:t>)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 ndvi function in the R package portalr (Maesk et al. 2006; Vermote et al. 2016; Christensen et al. 2019). Drought (C) was calculated using a 12-month Standardized Precipitation Evapotranspiraiton index (SPEI) for all months from 1989-2020, using the Thornthwaite method to estimate potential evapotranspiration (using the R package SPEI,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14:paraId="5291872D" w14:textId="77777777" w:rsidR="00787758" w:rsidRDefault="00B07A18">
      <w:r>
        <w:br w:type="page"/>
      </w:r>
    </w:p>
    <w:p w14:paraId="33FBA968" w14:textId="77777777" w:rsidR="00787758" w:rsidRDefault="00B07A18">
      <w:pPr>
        <w:pStyle w:val="Heading1"/>
      </w:pPr>
      <w:bookmarkStart w:id="4" w:name="references"/>
      <w:bookmarkStart w:id="5" w:name="_Toc94106215"/>
      <w:r>
        <w:lastRenderedPageBreak/>
        <w:t>References</w:t>
      </w:r>
      <w:bookmarkEnd w:id="4"/>
      <w:bookmarkEnd w:id="5"/>
    </w:p>
    <w:p w14:paraId="589ECF60" w14:textId="77777777" w:rsidR="00787758" w:rsidRDefault="00B07A18">
      <w:r>
        <w:t>Beguería, S., and S. M. Vicente-Serrano. 2017. SPEI: Calculation of the Standardised Precipitation-Evapotranspiration Index.</w:t>
      </w:r>
    </w:p>
    <w:p w14:paraId="5F86727C" w14:textId="77777777" w:rsidR="00787758" w:rsidRDefault="00B07A18">
      <w:r>
        <w:t>Cárdenas, P. A., E. Christensen, S. K. M. Ernest, D. C. Lightfoot, R. L. Schooley, P. Stapp, and J. A. Rudgers. 2021. Declines in rodent abundance and diversity track regional climate variability in North American drylands. Global Change Biology:gcb.15672.</w:t>
      </w:r>
    </w:p>
    <w:p w14:paraId="43E2EC5E" w14:textId="77777777" w:rsidR="00787758" w:rsidRDefault="00B07A18">
      <w:r>
        <w:t>Christensen, E. M., D. J. Harris, and S. K. M. Ernest. 2018. Long-term community change through multiple rapid transitions in a desert rodent community. Ecology 99:1523–1529.</w:t>
      </w:r>
    </w:p>
    <w:p w14:paraId="7392AC82" w14:textId="77777777" w:rsidR="00787758" w:rsidRDefault="00B07A18">
      <w:r>
        <w:t>Christensen, E. M., G. M. Yenni, H. Ye, J. L. Simonis, E. K. Bledsoe, R. M. Diaz, S. D. Taylor, E. P. White, and S. K. M. Ernest. 2019. portalr: an R package for summarizing and using the Portal Project Data. Journal of Open Source Software 4:1098.</w:t>
      </w:r>
    </w:p>
    <w:p w14:paraId="5CF0F9AD" w14:textId="77777777" w:rsidR="00787758" w:rsidRDefault="00B07A18">
      <w:r>
        <w:t>Masek, J.G., Vermote, E.F., Saleous, N., Wolfe, R., Hall, F.G., Huemmrich, F., Gao, F., Kutler, J., and Lim, T.K. (2006). A Landsat surface reflectance data set for North America, 1990-100, IEEE Geoscience and Remote Sensing Letters. 3:68-72.</w:t>
      </w:r>
    </w:p>
    <w:p w14:paraId="23A744D4" w14:textId="77777777" w:rsidR="00787758" w:rsidRDefault="00B07A18">
      <w:r>
        <w:t>Slette, I. J., A. K. Post, M. Awad, T. Even, A. Punzalan, S. Williams, M. D. Smith, and A. K. Knapp. 2019. How ecologists define drought, and why we should do better. Global Change Biology 25:3193–3200.</w:t>
      </w:r>
    </w:p>
    <w:p w14:paraId="630850D4" w14:textId="77777777" w:rsidR="00787758" w:rsidRDefault="00B07A18">
      <w:r>
        <w:t>Vermote, E., Justice, C., Claverie, M., &amp; Franch, B. (2016). Preliminary analysis of the performance of the Landsat 8/OLI land surface reflectance product. Remote Sensing of Environment, 185, 46-56.</w:t>
      </w:r>
    </w:p>
    <w:sectPr w:rsidR="0078775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6061" w14:textId="77777777" w:rsidR="00DB35C9" w:rsidRDefault="00DB35C9">
      <w:pPr>
        <w:spacing w:before="0" w:after="0" w:line="240" w:lineRule="auto"/>
      </w:pPr>
      <w:r>
        <w:separator/>
      </w:r>
    </w:p>
  </w:endnote>
  <w:endnote w:type="continuationSeparator" w:id="0">
    <w:p w14:paraId="7A7894AE" w14:textId="77777777" w:rsidR="00DB35C9" w:rsidRDefault="00DB35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ED86" w14:textId="77777777" w:rsidR="00DC42B5" w:rsidRDefault="00DB3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2C06" w14:textId="77777777" w:rsidR="00DC42B5" w:rsidRDefault="00DB35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FBD5" w14:textId="77777777" w:rsidR="00DC42B5" w:rsidRDefault="00DB3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E546" w14:textId="77777777" w:rsidR="00DB35C9" w:rsidRDefault="00DB35C9">
      <w:r>
        <w:separator/>
      </w:r>
    </w:p>
  </w:footnote>
  <w:footnote w:type="continuationSeparator" w:id="0">
    <w:p w14:paraId="5A1058C1" w14:textId="77777777" w:rsidR="00DB35C9" w:rsidRDefault="00DB3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A990495"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101E">
          <w:rPr>
            <w:rStyle w:val="PageNumber"/>
            <w:noProof/>
          </w:rPr>
          <w:t>4</w:t>
        </w:r>
        <w:r>
          <w:rPr>
            <w:rStyle w:val="PageNumber"/>
          </w:rPr>
          <w:fldChar w:fldCharType="end"/>
        </w:r>
      </w:p>
    </w:sdtContent>
  </w:sdt>
  <w:p w14:paraId="6B51AA5C" w14:textId="77777777" w:rsidR="00DC42B5" w:rsidRDefault="00DB35C9"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4C57247F"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FFBE5" w14:textId="2626ADD1" w:rsidR="00DC42B5" w:rsidRPr="00DC42B5" w:rsidRDefault="00B07A18" w:rsidP="00DC42B5">
    <w:pPr>
      <w:pStyle w:val="Header"/>
      <w:tabs>
        <w:tab w:val="clear" w:pos="4680"/>
      </w:tabs>
      <w:ind w:right="360"/>
      <w:rPr>
        <w:lang w:val="en-US"/>
      </w:rPr>
    </w:pPr>
    <w:r>
      <w:rPr>
        <w:lang w:val="en-US"/>
      </w:rPr>
      <w:t>Diaz and Ernest</w:t>
    </w:r>
    <w:r w:rsidR="00033386">
      <w:rPr>
        <w:lang w:val="en-US"/>
      </w:rPr>
      <w:t xml:space="preserve"> – Appendix S4</w:t>
    </w:r>
    <w:r w:rsidR="000561A0">
      <w:rPr>
        <w:lang w:val="en-US"/>
      </w:rPr>
      <w:t>: Covariates of rodent community change</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E3E6" w14:textId="77777777" w:rsidR="00DC42B5" w:rsidRDefault="00DB3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40A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01E"/>
    <w:rsid w:val="00011C8B"/>
    <w:rsid w:val="00033386"/>
    <w:rsid w:val="00033F47"/>
    <w:rsid w:val="000561A0"/>
    <w:rsid w:val="0023130B"/>
    <w:rsid w:val="002C7726"/>
    <w:rsid w:val="003C1B50"/>
    <w:rsid w:val="004E29B3"/>
    <w:rsid w:val="00590D07"/>
    <w:rsid w:val="00745C2F"/>
    <w:rsid w:val="00784D58"/>
    <w:rsid w:val="007854FC"/>
    <w:rsid w:val="00787758"/>
    <w:rsid w:val="008D6863"/>
    <w:rsid w:val="00B07A18"/>
    <w:rsid w:val="00B86B75"/>
    <w:rsid w:val="00BC48D5"/>
    <w:rsid w:val="00C36279"/>
    <w:rsid w:val="00D911F8"/>
    <w:rsid w:val="00DB35C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F0B2"/>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0101E"/>
    <w:pPr>
      <w:spacing w:after="100"/>
    </w:pPr>
  </w:style>
  <w:style w:type="character" w:styleId="Hyperlink">
    <w:name w:val="Hyperlink"/>
    <w:basedOn w:val="DefaultParagraphFont"/>
    <w:uiPriority w:val="99"/>
    <w:unhideWhenUsed/>
    <w:rsid w:val="00001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5281/zenodo.554436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Covariates of rodent community change</dc:title>
  <dc:creator/>
  <cp:keywords/>
  <cp:lastModifiedBy>Diaz,Renata M</cp:lastModifiedBy>
  <cp:revision>8</cp:revision>
  <cp:lastPrinted>2022-01-26T21:17:00Z</cp:lastPrinted>
  <dcterms:created xsi:type="dcterms:W3CDTF">2022-01-24T21:39:00Z</dcterms:created>
  <dcterms:modified xsi:type="dcterms:W3CDTF">2022-02-11T15:39:00Z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