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 xml:space="preserve">This submission is posted as a preprint on </w:t>
      </w:r>
      <w:proofErr w:type="spellStart"/>
      <w:r>
        <w:t>bioRxiv</w:t>
      </w:r>
      <w:proofErr w:type="spellEnd"/>
      <w:r>
        <w:t xml:space="preserve">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5416037C"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w:t>
      </w:r>
      <w:ins w:id="0" w:author="Diaz,Renata M" w:date="2022-01-02T14:24:00Z">
        <w:r w:rsidR="00B92ECB">
          <w:t xml:space="preserve">repeatedly and </w:t>
        </w:r>
      </w:ins>
      <w:r>
        <w:t xml:space="preserve">dramatically over time, due to </w:t>
      </w:r>
      <w:del w:id="1" w:author="Diaz,Renata M" w:date="2022-01-02T14:24:00Z">
        <w:r w:rsidDel="00B92ECB">
          <w:delText>changes in both species composition and in the degree of</w:delText>
        </w:r>
      </w:del>
      <w:ins w:id="2" w:author="Diaz,Renata M" w:date="2022-01-02T14:24:00Z">
        <w:r w:rsidR="00B92ECB">
          <w:t>the addition of new species to the community, and a reduction in</w:t>
        </w:r>
      </w:ins>
      <w:r>
        <w:t xml:space="preserve">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w:t>
      </w:r>
      <w:ins w:id="3" w:author="Diaz,Renata M" w:date="2022-01-02T14:24:00Z">
        <w:r w:rsidR="00B92ECB">
          <w:t xml:space="preserve">Shifting, context-dependent compensatory dynamics, such as those demonstrated here, highlight the </w:t>
        </w:r>
      </w:ins>
      <w:ins w:id="4" w:author="Diaz,Renata M" w:date="2022-01-02T14:25:00Z">
        <w:r w:rsidR="00B92ECB">
          <w:t>importance of</w:t>
        </w:r>
      </w:ins>
      <w:ins w:id="5" w:author="Diaz,Renata M" w:date="2022-01-02T14:24:00Z">
        <w:r w:rsidR="00B92ECB">
          <w:t xml:space="preserve"> </w:t>
        </w:r>
      </w:ins>
      <w:del w:id="6" w:author="Diaz,Renata M" w:date="2022-01-02T14:25:00Z">
        <w:r w:rsidDel="00B92ECB">
          <w:delText xml:space="preserve">These results highlight the importance of </w:delText>
        </w:r>
      </w:del>
      <w:r>
        <w:t xml:space="preserve">explicitly long-term, metacommunity, and eco-evolutionary perspectives on </w:t>
      </w:r>
      <w:del w:id="7" w:author="Diaz,Renata M" w:date="2022-01-02T14:25:00Z">
        <w:r w:rsidDel="00B92ECB">
          <w:delText xml:space="preserve">compensatory dynamics, zero-sum constraints, and </w:delText>
        </w:r>
      </w:del>
      <w:r>
        <w:t>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6573F8BF"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w:t>
      </w:r>
      <w:ins w:id="8" w:author="Diaz,Renata M" w:date="2021-12-28T10:50:00Z">
        <w:r w:rsidR="00B427A0">
          <w:t>(</w:t>
        </w:r>
      </w:ins>
      <w:proofErr w:type="gramStart"/>
      <w:ins w:id="9" w:author="Diaz,Renata M" w:date="2021-12-28T10:51:00Z">
        <w:r w:rsidR="00B427A0">
          <w:t>e.g.</w:t>
        </w:r>
        <w:proofErr w:type="gramEnd"/>
        <w:r w:rsidR="00B427A0">
          <w:t xml:space="preserve"> productivity or resource </w:t>
        </w:r>
        <w:commentRangeStart w:id="10"/>
        <w:r w:rsidR="00B427A0">
          <w:t>use</w:t>
        </w:r>
      </w:ins>
      <w:commentRangeEnd w:id="10"/>
      <w:ins w:id="11" w:author="Diaz,Renata M" w:date="2021-12-28T10:53:00Z">
        <w:r w:rsidR="00776091">
          <w:rPr>
            <w:rStyle w:val="CommentReference"/>
          </w:rPr>
          <w:commentReference w:id="10"/>
        </w:r>
      </w:ins>
      <w:ins w:id="12" w:author="Diaz,Renata M" w:date="2021-12-28T10:51:00Z">
        <w:r w:rsidR="00B427A0">
          <w:t>)</w:t>
        </w:r>
      </w:ins>
      <w:ins w:id="13" w:author="Diaz,Renata M" w:date="2021-12-28T10:53:00Z">
        <w:r w:rsidR="00776091">
          <w:t xml:space="preserve"> </w:t>
        </w:r>
      </w:ins>
      <w:r>
        <w:t xml:space="preserve">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w:t>
      </w:r>
      <w:proofErr w:type="gramStart"/>
      <w:r>
        <w:t>similar to</w:t>
      </w:r>
      <w:proofErr w:type="gramEnd"/>
      <w:r>
        <w:t xml:space="preserve">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2FD2ED92"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xml:space="preserve">; Ernest et al. 2019).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w:t>
      </w:r>
      <w:commentRangeStart w:id="14"/>
      <w:ins w:id="15" w:author="Diaz,Renata M" w:date="2021-12-28T10:54:00Z">
        <w:r w:rsidR="003D5718">
          <w:t xml:space="preserve">shifting environmental </w:t>
        </w:r>
        <w:r w:rsidR="003D5718">
          <w:lastRenderedPageBreak/>
          <w:t>conditions have caused</w:t>
        </w:r>
        <w:commentRangeEnd w:id="14"/>
        <w:r w:rsidR="003D5718">
          <w:rPr>
            <w:rStyle w:val="CommentReference"/>
          </w:rPr>
          <w:commentReference w:id="14"/>
        </w:r>
        <w:r w:rsidR="003D5718">
          <w:t xml:space="preserve"> </w:t>
        </w:r>
      </w:ins>
      <w:r>
        <w:t xml:space="preserve">the habitat at the study site </w:t>
      </w:r>
      <w:del w:id="16" w:author="Diaz,Renata M" w:date="2021-12-28T10:54:00Z">
        <w:r w:rsidDel="003D5718">
          <w:delText xml:space="preserve">has </w:delText>
        </w:r>
      </w:del>
      <w:ins w:id="17" w:author="Diaz,Renata M" w:date="2021-12-28T10:54:00Z">
        <w:r w:rsidR="003D5718">
          <w:t xml:space="preserve">to </w:t>
        </w:r>
      </w:ins>
      <w:del w:id="18" w:author="Diaz,Renata M" w:date="2021-12-28T10:54:00Z">
        <w:r w:rsidDel="003D5718">
          <w:delText xml:space="preserve">transitioned </w:delText>
        </w:r>
      </w:del>
      <w:ins w:id="19" w:author="Diaz,Renata M" w:date="2021-12-28T10:54:00Z">
        <w:r w:rsidR="003D5718">
          <w:t xml:space="preserve">transition </w:t>
        </w:r>
      </w:ins>
      <w:r>
        <w:t xml:space="preserve">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127DCE67" w:rsidR="0014228D" w:rsidDel="00D86814" w:rsidRDefault="004D2FE6">
      <w:pPr>
        <w:pStyle w:val="Heading2"/>
        <w:rPr>
          <w:moveFrom w:id="20" w:author="Diaz,Renata M" w:date="2021-12-28T10:55:00Z"/>
          <w:i w:val="0"/>
        </w:rPr>
      </w:pPr>
      <w:moveFromRangeStart w:id="21" w:author="Diaz,Renata M" w:date="2021-12-28T10:55:00Z" w:name="move91581321"/>
      <w:moveFrom w:id="22" w:author="Diaz,Renata M" w:date="2021-12-28T10:55:00Z">
        <w:r w:rsidDel="00D86814">
          <w:rPr>
            <w:i w:val="0"/>
          </w:rPr>
          <w:t xml:space="preserve">All analyses were conducted in R version 4.0.3 (R Core Team 2020). </w:t>
        </w:r>
        <w:r w:rsidR="0062083A" w:rsidDel="00D86814">
          <w:rPr>
            <w:i w:val="0"/>
          </w:rPr>
          <w:t>Data</w:t>
        </w:r>
        <w:r w:rsidDel="00D86814">
          <w:rPr>
            <w:i w:val="0"/>
          </w:rPr>
          <w:t xml:space="preserve"> and </w:t>
        </w:r>
        <w:r w:rsidR="0062083A" w:rsidDel="00D86814">
          <w:rPr>
            <w:i w:val="0"/>
          </w:rPr>
          <w:t xml:space="preserve">code </w:t>
        </w:r>
        <w:r w:rsidDel="00D86814">
          <w:rPr>
            <w:i w:val="0"/>
          </w:rPr>
          <w:t>are availabl</w:t>
        </w:r>
        <w:r w:rsidRPr="003B678B" w:rsidDel="00D86814">
          <w:rPr>
            <w:i w:val="0"/>
          </w:rPr>
          <w:t xml:space="preserve">e </w:t>
        </w:r>
        <w:r w:rsidR="003B678B" w:rsidRPr="003B678B" w:rsidDel="00D86814">
          <w:rPr>
            <w:i w:val="0"/>
          </w:rPr>
          <w:t xml:space="preserve">at </w:t>
        </w:r>
        <w:r w:rsidR="008B27E0" w:rsidDel="00D86814">
          <w:fldChar w:fldCharType="begin"/>
        </w:r>
        <w:r w:rsidR="008B27E0" w:rsidDel="00D86814">
          <w:instrText xml:space="preserve"> HYPERLINK "https://doi.org/10.5281/zenodo.5544362" </w:instrText>
        </w:r>
        <w:r w:rsidR="008B27E0" w:rsidDel="00D86814">
          <w:fldChar w:fldCharType="separate"/>
        </w:r>
        <w:r w:rsidR="003B678B" w:rsidRPr="003B678B" w:rsidDel="00D86814">
          <w:rPr>
            <w:rStyle w:val="Hyperlink"/>
            <w:i w:val="0"/>
          </w:rPr>
          <w:t>https://doi.org/10.5281/zenodo.5544362</w:t>
        </w:r>
        <w:r w:rsidR="008B27E0" w:rsidDel="00D86814">
          <w:rPr>
            <w:rStyle w:val="Hyperlink"/>
          </w:rPr>
          <w:fldChar w:fldCharType="end"/>
        </w:r>
        <w:r w:rsidR="003B678B" w:rsidRPr="003B678B" w:rsidDel="00D86814">
          <w:rPr>
            <w:i w:val="0"/>
          </w:rPr>
          <w:t xml:space="preserve"> and </w:t>
        </w:r>
        <w:r w:rsidR="008B27E0" w:rsidDel="00D86814">
          <w:fldChar w:fldCharType="begin"/>
        </w:r>
        <w:r w:rsidR="008B27E0" w:rsidDel="00D86814">
          <w:instrText xml:space="preserve"> HYPERLINK "https://doi.org/10.5281/zenodo.5539881" </w:instrText>
        </w:r>
        <w:r w:rsidR="008B27E0" w:rsidDel="00D86814">
          <w:fldChar w:fldCharType="separate"/>
        </w:r>
        <w:r w:rsidR="003B678B" w:rsidRPr="003B678B" w:rsidDel="00D86814">
          <w:rPr>
            <w:rStyle w:val="Hyperlink"/>
            <w:i w:val="0"/>
          </w:rPr>
          <w:t>https://doi.org/10.5281/zenodo.5539881</w:t>
        </w:r>
        <w:r w:rsidR="008B27E0" w:rsidDel="00D86814">
          <w:rPr>
            <w:rStyle w:val="Hyperlink"/>
          </w:rPr>
          <w:fldChar w:fldCharType="end"/>
        </w:r>
        <w:r w:rsidR="003B678B" w:rsidDel="00D86814">
          <w:rPr>
            <w:i w:val="0"/>
          </w:rPr>
          <w:t>.</w:t>
        </w:r>
      </w:moveFrom>
    </w:p>
    <w:moveFromRangeEnd w:id="21"/>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w:t>
      </w:r>
      <w:proofErr w:type="spellStart"/>
      <w:r>
        <w:t>exclosures</w:t>
      </w:r>
      <w:proofErr w:type="spellEnd"/>
      <w:r>
        <w:t xml:space="preserve">),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570C47E0" w:rsidR="0014228D" w:rsidRDefault="004D2FE6">
      <w:pPr>
        <w:ind w:firstLine="720"/>
      </w:pPr>
      <w:r>
        <w:t>We use</w:t>
      </w:r>
      <w:ins w:id="23" w:author="Diaz,Renata M" w:date="2021-12-28T11:06:00Z">
        <w:r w:rsidR="00FE1535">
          <w:t>d</w:t>
        </w:r>
      </w:ins>
      <w:r>
        <w:t xml:space="preserve"> data for 4 control and 5 </w:t>
      </w:r>
      <w:proofErr w:type="spellStart"/>
      <w:r>
        <w:t>exclosure</w:t>
      </w:r>
      <w:proofErr w:type="spellEnd"/>
      <w:r>
        <w:t xml:space="preserve"> plots 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We broke this timeseries into three time </w:t>
      </w:r>
      <w:commentRangeStart w:id="24"/>
      <w:r>
        <w:t xml:space="preserve">periods </w:t>
      </w:r>
      <w:del w:id="25" w:author="Diaz,Renata M" w:date="2021-12-28T10:57:00Z">
        <w:r w:rsidDel="00332C1F">
          <w:delText xml:space="preserve">corresponding </w:delText>
        </w:r>
      </w:del>
      <w:ins w:id="26" w:author="Diaz,Renata M" w:date="2021-12-28T10:58:00Z">
        <w:r w:rsidR="00332C1F">
          <w:t xml:space="preserve">defined by the major transitions in the rodent community surrounding the establishment of </w:t>
        </w:r>
        <w:r w:rsidR="00332C1F">
          <w:rPr>
            <w:i/>
          </w:rPr>
          <w:t xml:space="preserve">C. </w:t>
        </w:r>
        <w:proofErr w:type="spellStart"/>
        <w:r w:rsidR="00332C1F">
          <w:rPr>
            <w:i/>
          </w:rPr>
          <w:t>baileyi</w:t>
        </w:r>
        <w:proofErr w:type="spellEnd"/>
        <w:r w:rsidR="00332C1F">
          <w:rPr>
            <w:i/>
          </w:rPr>
          <w:t xml:space="preserve"> </w:t>
        </w:r>
        <w:r w:rsidR="00332C1F">
          <w:rPr>
            <w:iCs/>
          </w:rPr>
          <w:t>in 1996-1997 and its</w:t>
        </w:r>
      </w:ins>
      <w:ins w:id="27" w:author="Diaz,Renata M" w:date="2021-12-28T10:59:00Z">
        <w:r w:rsidR="00332C1F">
          <w:rPr>
            <w:iCs/>
          </w:rPr>
          <w:t xml:space="preserve"> subsequent decline in 2009-2010 (Ernest and Brown 2001; Thibault et al. 2010; Christensen et al. 2018). We defined the </w:t>
        </w:r>
      </w:ins>
      <w:ins w:id="28" w:author="Diaz,Renata M" w:date="2021-12-28T11:06:00Z">
        <w:r w:rsidR="0070428A">
          <w:rPr>
            <w:iCs/>
          </w:rPr>
          <w:t>first</w:t>
        </w:r>
      </w:ins>
      <w:ins w:id="29" w:author="Diaz,Renata M" w:date="2021-12-28T11:00:00Z">
        <w:r w:rsidR="00332C1F">
          <w:rPr>
            <w:iCs/>
          </w:rPr>
          <w:t xml:space="preserve"> time period as from</w:t>
        </w:r>
      </w:ins>
      <w:ins w:id="30" w:author="Diaz,Renata M" w:date="2021-12-28T10:58:00Z">
        <w:r w:rsidR="00332C1F">
          <w:rPr>
            <w:iCs/>
          </w:rPr>
          <w:t xml:space="preserve"> </w:t>
        </w:r>
      </w:ins>
      <w:del w:id="31" w:author="Diaz,Renata M" w:date="2021-12-28T10:57:00Z">
        <w:r w:rsidDel="00332C1F">
          <w:delText>to</w:delText>
        </w:r>
      </w:del>
      <w:del w:id="32" w:author="Diaz,Renata M" w:date="2021-12-28T10:58:00Z">
        <w:r w:rsidR="001F362C" w:rsidDel="00332C1F">
          <w:delText xml:space="preserve"> previously-documented</w:delText>
        </w:r>
        <w:r w:rsidDel="00332C1F">
          <w:delText xml:space="preserve"> major transitions in the rodent </w:delText>
        </w:r>
        <w:r w:rsidR="001F362C" w:rsidDel="00332C1F">
          <w:delText>community</w:delText>
        </w:r>
      </w:del>
      <w:del w:id="33" w:author="Diaz,Renata M" w:date="2021-12-28T10:56:00Z">
        <w:r w:rsidDel="00332C1F">
          <w:delText xml:space="preserve">: </w:delText>
        </w:r>
        <w:r w:rsidR="00C547F3" w:rsidDel="00332C1F">
          <w:delText>1</w:delText>
        </w:r>
        <w:r w:rsidDel="00332C1F">
          <w:delText xml:space="preserve">) </w:delText>
        </w:r>
      </w:del>
      <w:r>
        <w:t>February 1988 to June 1997</w:t>
      </w:r>
      <w:ins w:id="34" w:author="Diaz,Renata M" w:date="2021-12-28T11:00:00Z">
        <w:r w:rsidR="00332C1F">
          <w:t xml:space="preserve">, which was the first census period in which </w:t>
        </w:r>
        <w:r w:rsidR="00332C1F">
          <w:rPr>
            <w:i/>
          </w:rPr>
          <w:t xml:space="preserve">C. </w:t>
        </w:r>
        <w:proofErr w:type="spellStart"/>
        <w:r w:rsidR="00332C1F">
          <w:rPr>
            <w:i/>
          </w:rPr>
          <w:t>baileyi</w:t>
        </w:r>
        <w:proofErr w:type="spellEnd"/>
        <w:r w:rsidR="00332C1F">
          <w:rPr>
            <w:i/>
          </w:rPr>
          <w:t xml:space="preserve"> </w:t>
        </w:r>
        <w:r w:rsidR="00332C1F">
          <w:rPr>
            <w:iCs/>
          </w:rPr>
          <w:t xml:space="preserve">was captured on all </w:t>
        </w:r>
        <w:proofErr w:type="spellStart"/>
        <w:r w:rsidR="00332C1F">
          <w:rPr>
            <w:iCs/>
          </w:rPr>
          <w:t>exclosure</w:t>
        </w:r>
        <w:proofErr w:type="spellEnd"/>
        <w:r w:rsidR="00332C1F">
          <w:rPr>
            <w:iCs/>
          </w:rPr>
          <w:t xml:space="preserve"> plots at the site. </w:t>
        </w:r>
      </w:ins>
      <w:ins w:id="35" w:author="Diaz,Renata M" w:date="2021-12-28T11:01:00Z">
        <w:r w:rsidR="00332C1F">
          <w:rPr>
            <w:iCs/>
          </w:rPr>
          <w:t xml:space="preserve"> The second time period spans </w:t>
        </w:r>
        <w:r w:rsidR="00332C1F">
          <w:rPr>
            <w:iCs/>
          </w:rPr>
          <w:lastRenderedPageBreak/>
          <w:t xml:space="preserve">from July 1997 until January 2010, which is the </w:t>
        </w:r>
      </w:ins>
      <w:ins w:id="36" w:author="Diaz,Renata M" w:date="2021-12-28T11:03:00Z">
        <w:r w:rsidR="0031764E">
          <w:rPr>
            <w:iCs/>
          </w:rPr>
          <w:t xml:space="preserve">midpoint of the 95% credible interval for the timing of the last </w:t>
        </w:r>
      </w:ins>
      <w:del w:id="37" w:author="Diaz,Renata M" w:date="2021-12-28T11:01:00Z">
        <w:r w:rsidR="00C547F3" w:rsidDel="00332C1F">
          <w:delText xml:space="preserve">; </w:delText>
        </w:r>
      </w:del>
      <w:del w:id="38" w:author="Diaz,Renata M" w:date="2021-12-28T11:03:00Z">
        <w:r w:rsidR="00C547F3" w:rsidDel="0031764E">
          <w:delText>2)</w:delText>
        </w:r>
        <w:r w:rsidDel="0031764E">
          <w:delText xml:space="preserve"> July 1997 to January 2010, which spans from the first census period in which </w:delText>
        </w:r>
        <w:r w:rsidDel="0031764E">
          <w:rPr>
            <w:i/>
          </w:rPr>
          <w:delText xml:space="preserve">C. baileyi </w:delText>
        </w:r>
        <w:r w:rsidDel="0031764E">
          <w:delText>was captured on all exclosure plots at the site</w:delText>
        </w:r>
        <w:r w:rsidR="00C547F3" w:rsidDel="0031764E">
          <w:delText xml:space="preserve"> until </w:delText>
        </w:r>
        <w:r w:rsidDel="0031764E">
          <w:delText xml:space="preserve">the most recent </w:delText>
        </w:r>
      </w:del>
      <w:r>
        <w:t>reorganization event</w:t>
      </w:r>
      <w:ins w:id="39" w:author="Diaz,Renata M" w:date="2021-12-28T11:03:00Z">
        <w:r w:rsidR="0031764E">
          <w:t xml:space="preserve"> as estimated in Christensen et al. (2018).</w:t>
        </w:r>
      </w:ins>
      <w:ins w:id="40" w:author="Diaz,Renata M" w:date="2021-12-28T11:04:00Z">
        <w:r w:rsidR="0031764E">
          <w:t xml:space="preserve"> The last time period spans from February 2010 until January 202</w:t>
        </w:r>
      </w:ins>
      <w:del w:id="41" w:author="Diaz,Renata M" w:date="2021-12-28T11:03:00Z">
        <w:r w:rsidR="001F362C" w:rsidDel="0031764E">
          <w:delText xml:space="preserve">; </w:delText>
        </w:r>
        <w:r w:rsidDel="0031764E">
          <w:delText xml:space="preserve">and </w:delText>
        </w:r>
        <w:r w:rsidR="00C547F3" w:rsidDel="0031764E">
          <w:delText>3</w:delText>
        </w:r>
        <w:r w:rsidDel="0031764E">
          <w:delText>) from January 2010 until January 202</w:delText>
        </w:r>
      </w:del>
      <w:r>
        <w:t>0, when data collection was interrupted by the COVID-19 pandemic</w:t>
      </w:r>
      <w:ins w:id="42" w:author="Diaz,Renata M" w:date="2021-12-28T11:04:00Z">
        <w:r w:rsidR="0031764E">
          <w:t>.</w:t>
        </w:r>
        <w:commentRangeEnd w:id="24"/>
        <w:r w:rsidR="005F7CBC">
          <w:rPr>
            <w:rStyle w:val="CommentReference"/>
          </w:rPr>
          <w:commentReference w:id="24"/>
        </w:r>
        <w:r w:rsidR="0031764E">
          <w:t xml:space="preserve"> </w:t>
        </w:r>
      </w:ins>
      <w:commentRangeStart w:id="43"/>
      <w:del w:id="44" w:author="Diaz,Renata M" w:date="2021-12-28T11:04:00Z">
        <w:r w:rsidR="001F362C" w:rsidDel="0031764E">
          <w:delText xml:space="preserve"> (Christensen et al. 2018; Bledsoe and Ernest 2019)</w:delText>
        </w:r>
        <w:r w:rsidDel="0031764E">
          <w:delText xml:space="preserve">. </w:delText>
        </w:r>
      </w:del>
      <w:r>
        <w:t xml:space="preserve">For each individual rodent captured, we estimated the individual-level metabolic rate </w:t>
      </w:r>
      <w:del w:id="45" w:author="Diaz,Renata M" w:date="2021-12-28T11:05:00Z">
        <w:r w:rsidDel="00B030A0">
          <w:delText xml:space="preserve">as </w:delText>
        </w:r>
      </w:del>
      <w:ins w:id="46" w:author="Diaz,Renata M" w:date="2021-12-28T11:05:00Z">
        <w:r w:rsidR="00B030A0">
          <w:t>using the scaling relationship</w:t>
        </w:r>
        <w:r w:rsidR="00E4751F">
          <w:t xml:space="preserve"> between individual body mass and metabolic rate</w:t>
        </w:r>
        <w:r w:rsidR="00B030A0">
          <w:t xml:space="preserve"> </w:t>
        </w:r>
      </w:ins>
      <w:r>
        <w:t>5.69 * (</w:t>
      </w:r>
      <w:r>
        <w:rPr>
          <w:i/>
        </w:rPr>
        <w:t>m</w:t>
      </w:r>
      <w:r>
        <w:rPr>
          <w:vertAlign w:val="superscript"/>
        </w:rPr>
        <w:t>0.75</w:t>
      </w:r>
      <w:r>
        <w:t>)</w:t>
      </w:r>
      <w:commentRangeEnd w:id="43"/>
      <w:r w:rsidR="004913AD">
        <w:rPr>
          <w:rStyle w:val="CommentReference"/>
        </w:rPr>
        <w:commentReference w:id="43"/>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631F5091" w:rsidR="0014228D" w:rsidRDefault="004D2FE6">
      <w:pPr>
        <w:pBdr>
          <w:top w:val="nil"/>
          <w:left w:val="nil"/>
          <w:bottom w:val="nil"/>
          <w:right w:val="nil"/>
          <w:between w:val="nil"/>
        </w:pBdr>
        <w:ind w:firstLine="720"/>
        <w:rPr>
          <w:ins w:id="47" w:author="Diaz,Renata M" w:date="2021-12-28T10:55:00Z"/>
          <w:i/>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w:t>
      </w:r>
      <w:proofErr w:type="spellStart"/>
      <w:r>
        <w:rPr>
          <w:color w:val="000000"/>
        </w:rPr>
        <w:t>exclosure</w:t>
      </w:r>
      <w:proofErr w:type="spellEnd"/>
      <w:r>
        <w:rPr>
          <w:color w:val="000000"/>
        </w:rPr>
        <w:t xml:space="preserv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w:t>
      </w:r>
      <w:proofErr w:type="spellStart"/>
      <w:r>
        <w:rPr>
          <w:color w:val="000000"/>
        </w:rPr>
        <w:t>exclosures</w:t>
      </w:r>
      <w:proofErr w:type="spellEnd"/>
      <w:r>
        <w:rPr>
          <w:color w:val="000000"/>
        </w:rPr>
        <w:t xml:space="preserve">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are the amount of energy used by small granivores</w:t>
      </w:r>
      <w:commentRangeStart w:id="48"/>
      <w:ins w:id="49" w:author="Diaz,Renata M" w:date="2021-12-28T10:49:00Z">
        <w:r w:rsidR="003C725D">
          <w:rPr>
            <w:color w:val="000000"/>
          </w:rPr>
          <w:t xml:space="preserve"> (SG)</w:t>
        </w:r>
      </w:ins>
      <w:commentRangeEnd w:id="48"/>
      <w:ins w:id="50" w:author="Diaz,Renata M" w:date="2021-12-28T10:52:00Z">
        <w:r w:rsidR="00776091">
          <w:rPr>
            <w:rStyle w:val="CommentReference"/>
          </w:rPr>
          <w:commentReference w:id="48"/>
        </w:r>
      </w:ins>
      <w:r>
        <w:rPr>
          <w:color w:val="000000"/>
        </w:rPr>
        <w:t xml:space="preserve"> </w:t>
      </w:r>
      <w:r>
        <w:rPr>
          <w:color w:val="000000"/>
        </w:rPr>
        <w:lastRenderedPageBreak/>
        <w:t xml:space="preserve">on </w:t>
      </w:r>
      <w:proofErr w:type="spellStart"/>
      <w:r>
        <w:rPr>
          <w:color w:val="000000"/>
        </w:rPr>
        <w:t>exclosure</w:t>
      </w:r>
      <w:proofErr w:type="spellEnd"/>
      <w:r>
        <w:rPr>
          <w:color w:val="000000"/>
        </w:rPr>
        <w:t xml:space="preserv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ins w:id="51" w:author="Diaz,Renata M" w:date="2021-12-28T10:49:00Z">
        <w:r w:rsidR="001A122E">
          <w:rPr>
            <w:color w:val="000000"/>
          </w:rPr>
          <w:t>(</w:t>
        </w:r>
        <w:commentRangeStart w:id="52"/>
        <w:r w:rsidR="001A122E">
          <w:rPr>
            <w:color w:val="000000"/>
          </w:rPr>
          <w:t>KR</w:t>
        </w:r>
      </w:ins>
      <w:commentRangeEnd w:id="52"/>
      <w:ins w:id="53" w:author="Diaz,Renata M" w:date="2021-12-28T10:53:00Z">
        <w:r w:rsidR="00776091">
          <w:rPr>
            <w:rStyle w:val="CommentReference"/>
          </w:rPr>
          <w:commentReference w:id="52"/>
        </w:r>
      </w:ins>
      <w:ins w:id="54" w:author="Diaz,Renata M" w:date="2021-12-28T10:49:00Z">
        <w:r w:rsidR="001A122E">
          <w:rPr>
            <w:color w:val="000000"/>
          </w:rPr>
          <w:t xml:space="preserve">) </w:t>
        </w:r>
      </w:ins>
      <w:r>
        <w:rPr>
          <w:color w:val="000000"/>
        </w:rPr>
        <w:t xml:space="preserve">on control plots (Ernest and Brown 2001). To compare these variables across time periods, we used </w:t>
      </w:r>
      <w:proofErr w:type="gramStart"/>
      <w:r>
        <w:rPr>
          <w:color w:val="000000"/>
        </w:rPr>
        <w:t>generalized least</w:t>
      </w:r>
      <w:proofErr w:type="gramEnd"/>
      <w:r>
        <w:rPr>
          <w:color w:val="000000"/>
        </w:rPr>
        <w:t xml:space="preserve"> squares models (the R package </w:t>
      </w:r>
      <w:proofErr w:type="spellStart"/>
      <w:r>
        <w:rPr>
          <w:i/>
          <w:color w:val="000000"/>
        </w:rPr>
        <w:t>nlme</w:t>
      </w:r>
      <w:proofErr w:type="spellEnd"/>
      <w:r>
        <w:rPr>
          <w:color w:val="000000"/>
        </w:rPr>
        <w:t xml:space="preserve">; Pinheiro et al. 2020), accounting for temporal autocorrelation, using the form </w:t>
      </w:r>
      <w:r>
        <w:rPr>
          <w:i/>
          <w:color w:val="000000"/>
        </w:rPr>
        <w:t>response ~ time period</w:t>
      </w:r>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response ~ time period</w:t>
      </w:r>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r>
        <w:rPr>
          <w:i/>
          <w:color w:val="000000"/>
        </w:rPr>
        <w:t>,</w:t>
      </w:r>
      <w:r>
        <w:rPr>
          <w:color w:val="000000"/>
        </w:rPr>
        <w:t xml:space="preserve"> specifically, on </w:t>
      </w:r>
      <w:proofErr w:type="spellStart"/>
      <w:r>
        <w:rPr>
          <w:color w:val="000000"/>
        </w:rPr>
        <w:t>exclosure</w:t>
      </w:r>
      <w:proofErr w:type="spellEnd"/>
      <w:r>
        <w:rPr>
          <w:color w:val="000000"/>
        </w:rPr>
        <w:t xml:space="preserv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to July 1997-2020. We compared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quasibinomial generalized linear model of the form </w:t>
      </w:r>
      <w:r>
        <w:rPr>
          <w:i/>
          <w:color w:val="000000"/>
        </w:rPr>
        <w:t>response ~ time period * treatment.</w:t>
      </w:r>
    </w:p>
    <w:p w14:paraId="1065ECC3" w14:textId="77777777" w:rsidR="00D86814" w:rsidRDefault="00D86814" w:rsidP="00D86814">
      <w:pPr>
        <w:pStyle w:val="Heading2"/>
        <w:rPr>
          <w:moveTo w:id="55" w:author="Diaz,Renata M" w:date="2021-12-28T10:55:00Z"/>
          <w:i w:val="0"/>
        </w:rPr>
      </w:pPr>
      <w:moveToRangeStart w:id="56" w:author="Diaz,Renata M" w:date="2021-12-28T10:55:00Z" w:name="move91581321"/>
      <w:moveTo w:id="57" w:author="Diaz,Renata M" w:date="2021-12-28T10:55:00Z">
        <w:r>
          <w:rPr>
            <w:i w:val="0"/>
          </w:rPr>
          <w:t>All analyses were conducted in R version 4.0.3 (R Core Team 2020). Data and code are availabl</w:t>
        </w:r>
        <w:r w:rsidRPr="003B678B">
          <w:rPr>
            <w:i w:val="0"/>
          </w:rPr>
          <w:t xml:space="preserve">e at </w:t>
        </w:r>
        <w:r>
          <w:fldChar w:fldCharType="begin"/>
        </w:r>
        <w:r>
          <w:instrText xml:space="preserve"> HYPERLINK "https://doi.org/10.5281/zenodo.5544362" </w:instrText>
        </w:r>
        <w:r>
          <w:fldChar w:fldCharType="separate"/>
        </w:r>
        <w:r w:rsidRPr="003B678B">
          <w:rPr>
            <w:rStyle w:val="Hyperlink"/>
            <w:i w:val="0"/>
          </w:rPr>
          <w:t>https://doi.org/10.5281/zenodo.5544362</w:t>
        </w:r>
        <w:r>
          <w:rPr>
            <w:rStyle w:val="Hyperlink"/>
            <w:i w:val="0"/>
          </w:rPr>
          <w:fldChar w:fldCharType="end"/>
        </w:r>
        <w:r w:rsidRPr="003B678B">
          <w:rPr>
            <w:i w:val="0"/>
          </w:rPr>
          <w:t xml:space="preserve"> and </w:t>
        </w:r>
        <w:commentRangeStart w:id="58"/>
        <w:r>
          <w:fldChar w:fldCharType="begin"/>
        </w:r>
        <w:r>
          <w:instrText xml:space="preserve"> HYPERLINK "https://doi.org/10.5281/zenodo.5539881" </w:instrText>
        </w:r>
        <w:r>
          <w:fldChar w:fldCharType="separate"/>
        </w:r>
        <w:r w:rsidRPr="003B678B">
          <w:rPr>
            <w:rStyle w:val="Hyperlink"/>
            <w:i w:val="0"/>
          </w:rPr>
          <w:t>https://doi.org/10.5281/zenodo.5539881</w:t>
        </w:r>
        <w:r>
          <w:rPr>
            <w:rStyle w:val="Hyperlink"/>
            <w:i w:val="0"/>
          </w:rPr>
          <w:fldChar w:fldCharType="end"/>
        </w:r>
      </w:moveTo>
      <w:commentRangeEnd w:id="58"/>
      <w:r w:rsidR="000D517A">
        <w:rPr>
          <w:rStyle w:val="CommentReference"/>
          <w:i w:val="0"/>
        </w:rPr>
        <w:commentReference w:id="58"/>
      </w:r>
      <w:moveTo w:id="59" w:author="Diaz,Renata M" w:date="2021-12-28T10:55:00Z">
        <w:r>
          <w:rPr>
            <w:i w:val="0"/>
          </w:rPr>
          <w:t>.</w:t>
        </w:r>
      </w:moveTo>
    </w:p>
    <w:moveToRangeEnd w:id="56"/>
    <w:p w14:paraId="4362C5B5" w14:textId="77777777" w:rsidR="00D86814" w:rsidDel="00FB5BA3" w:rsidRDefault="00D86814">
      <w:pPr>
        <w:pStyle w:val="Heading2"/>
        <w:rPr>
          <w:del w:id="60" w:author="Diaz,Renata M" w:date="2021-12-28T10:55:00Z"/>
        </w:rPr>
        <w:pPrChange w:id="61" w:author="Diaz,Renata M" w:date="2021-12-28T10:55:00Z">
          <w:pPr>
            <w:pBdr>
              <w:top w:val="nil"/>
              <w:left w:val="nil"/>
              <w:bottom w:val="nil"/>
              <w:right w:val="nil"/>
              <w:between w:val="nil"/>
            </w:pBdr>
            <w:ind w:firstLine="720"/>
          </w:pPr>
        </w:pPrChange>
      </w:pP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w:t>
      </w:r>
      <w:r>
        <w:rPr>
          <w:color w:val="000000"/>
        </w:rPr>
        <w:lastRenderedPageBreak/>
        <w:t xml:space="preserve">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w:t>
      </w:r>
      <w:proofErr w:type="spellStart"/>
      <w:r>
        <w:rPr>
          <w:color w:val="000000"/>
        </w:rPr>
        <w:t>exclosure</w:t>
      </w:r>
      <w:proofErr w:type="spellEnd"/>
      <w:r>
        <w:rPr>
          <w:color w:val="000000"/>
        </w:rPr>
        <w:t xml:space="preserve"> plots and dramatically increased energetic compensation (Figure 1B), from an average of 19% (95% interval 9-29%) from 1988-1996 to an average of 55% (46-63%; contrast </w:t>
      </w:r>
      <w:r>
        <w:rPr>
          <w:i/>
          <w:color w:val="000000"/>
        </w:rPr>
        <w:t xml:space="preserve">p </w:t>
      </w:r>
      <w:r>
        <w:rPr>
          <w:color w:val="000000"/>
        </w:rPr>
        <w:t xml:space="preserve">&lt; 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w:t>
      </w:r>
      <w:proofErr w:type="spellStart"/>
      <w:r>
        <w:rPr>
          <w:color w:val="000000"/>
        </w:rPr>
        <w:t>exclosures</w:t>
      </w:r>
      <w:proofErr w:type="spellEnd"/>
      <w:r>
        <w:rPr>
          <w:color w:val="000000"/>
        </w:rPr>
        <w:t xml:space="preserve">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w:t>
      </w:r>
      <w:proofErr w:type="spellStart"/>
      <w:r>
        <w:rPr>
          <w:color w:val="000000"/>
        </w:rPr>
        <w:t>exclosure</w:t>
      </w:r>
      <w:proofErr w:type="spellEnd"/>
      <w:r>
        <w:rPr>
          <w:color w:val="000000"/>
        </w:rPr>
        <w:t xml:space="preserv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proofErr w:type="spellStart"/>
      <w:r w:rsidRPr="002C69CC">
        <w:rPr>
          <w:i/>
          <w:color w:val="000000"/>
        </w:rPr>
        <w:t>Etot</w:t>
      </w:r>
      <w:proofErr w:type="spellEnd"/>
      <w:r w:rsidRPr="002C69CC">
        <w:rPr>
          <w:i/>
          <w:color w:val="000000"/>
        </w:rPr>
        <w:t xml:space="preserve"> </w:t>
      </w:r>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 xml:space="preserve">directly lost to kangaroo rat removal was smaller from 2010-2020 than from 1988-1996, the total energy ratio </w:t>
      </w:r>
      <w:r>
        <w:rPr>
          <w:color w:val="000000"/>
        </w:rPr>
        <w:lastRenderedPageBreak/>
        <w:t>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w:t>
      </w:r>
      <w:proofErr w:type="spellStart"/>
      <w:r>
        <w:rPr>
          <w:color w:val="000000"/>
        </w:rPr>
        <w:t>exclosure</w:t>
      </w:r>
      <w:proofErr w:type="spellEnd"/>
      <w:r>
        <w:rPr>
          <w:color w:val="000000"/>
        </w:rPr>
        <w:t xml:space="preserve"> plots.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lastRenderedPageBreak/>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w:t>
      </w:r>
      <w:proofErr w:type="spellStart"/>
      <w:r w:rsidR="005B1DA0">
        <w:rPr>
          <w:iCs/>
          <w:color w:val="000000"/>
        </w:rPr>
        <w:t>exclosure</w:t>
      </w:r>
      <w:proofErr w:type="spellEnd"/>
      <w:r w:rsidR="005B1DA0">
        <w:rPr>
          <w:iCs/>
          <w:color w:val="000000"/>
        </w:rPr>
        <w:t xml:space="preserv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w:t>
      </w:r>
      <w:proofErr w:type="spellStart"/>
      <w:r w:rsidR="005B1DA0">
        <w:rPr>
          <w:color w:val="000000"/>
        </w:rPr>
        <w:t>exclosure</w:t>
      </w:r>
      <w:proofErr w:type="spellEnd"/>
      <w:r w:rsidR="005B1DA0">
        <w:rPr>
          <w:color w:val="000000"/>
        </w:rPr>
        <w:t xml:space="preserv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w:t>
      </w:r>
      <w:proofErr w:type="spellStart"/>
      <w:r w:rsidR="009C0045">
        <w:rPr>
          <w:iCs/>
          <w:color w:val="000000"/>
        </w:rPr>
        <w:t>exclosure</w:t>
      </w:r>
      <w:proofErr w:type="spellEnd"/>
      <w:r w:rsidR="009C0045">
        <w:rPr>
          <w:iCs/>
          <w:color w:val="000000"/>
        </w:rPr>
        <w:t xml:space="preserv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w:t>
      </w:r>
      <w:r w:rsidR="009C0045">
        <w:rPr>
          <w:color w:val="000000"/>
        </w:rPr>
        <w:lastRenderedPageBreak/>
        <w:t xml:space="preserve">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w:t>
      </w:r>
      <w:r w:rsidR="00340635">
        <w:rPr>
          <w:color w:val="000000"/>
        </w:rPr>
        <w:lastRenderedPageBreak/>
        <w:t xml:space="preserve">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lastRenderedPageBreak/>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w:t>
      </w:r>
      <w:proofErr w:type="spellStart"/>
      <w:r>
        <w:rPr>
          <w:color w:val="000000"/>
        </w:rPr>
        <w:t>exclosure</w:t>
      </w:r>
      <w:proofErr w:type="spellEnd"/>
      <w:r>
        <w:rPr>
          <w:color w:val="000000"/>
        </w:rPr>
        <w:t xml:space="preserve"> plots that are not being used by any rodent species. Rather, the dynamics at Portal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xml:space="preserve">, and has been sustained over the decades via the </w:t>
      </w:r>
      <w:r>
        <w:lastRenderedPageBreak/>
        <w:t>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77777777" w:rsidR="00A541BE" w:rsidRPr="00A541BE" w:rsidRDefault="00A541BE" w:rsidP="001B4244">
      <w:pPr>
        <w:ind w:left="630" w:hanging="630"/>
      </w:pPr>
      <w:proofErr w:type="spellStart"/>
      <w:r w:rsidRPr="00A541BE">
        <w:t>M’Closkey</w:t>
      </w:r>
      <w:proofErr w:type="spellEnd"/>
      <w:r w:rsidRPr="00A541BE">
        <w:t>,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w:t>
      </w:r>
      <w:proofErr w:type="spellStart"/>
      <w:r>
        <w:rPr>
          <w:color w:val="000000"/>
        </w:rPr>
        <w:t>exclosure</w:t>
      </w:r>
      <w:proofErr w:type="spellEnd"/>
      <w:r>
        <w:rPr>
          <w:color w:val="000000"/>
        </w:rPr>
        <w:t xml:space="preserve"> plots to control plots (b),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w:t>
      </w:r>
      <w:proofErr w:type="spellStart"/>
      <w:r>
        <w:rPr>
          <w:color w:val="000000"/>
        </w:rPr>
        <w:t>exclosure</w:t>
      </w:r>
      <w:proofErr w:type="spellEnd"/>
      <w:r>
        <w:rPr>
          <w:color w:val="000000"/>
        </w:rPr>
        <w:t xml:space="preserv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iaz,Renata M" w:date="2021-12-28T10:53:00Z" w:initials="DM">
    <w:p w14:paraId="13938130" w14:textId="492C06CA" w:rsidR="00776091" w:rsidRDefault="00776091">
      <w:pPr>
        <w:pStyle w:val="CommentText"/>
      </w:pPr>
      <w:r>
        <w:rPr>
          <w:rStyle w:val="CommentReference"/>
        </w:rPr>
        <w:annotationRef/>
      </w:r>
      <w:r>
        <w:t>In response to 1.2</w:t>
      </w:r>
    </w:p>
  </w:comment>
  <w:comment w:id="14" w:author="Diaz,Renata M" w:date="2021-12-28T10:54:00Z" w:initials="DM">
    <w:p w14:paraId="31DED047" w14:textId="58A32376" w:rsidR="003D5718" w:rsidRDefault="003D5718">
      <w:pPr>
        <w:pStyle w:val="CommentText"/>
      </w:pPr>
      <w:r>
        <w:rPr>
          <w:rStyle w:val="CommentReference"/>
        </w:rPr>
        <w:annotationRef/>
      </w:r>
      <w:r>
        <w:t>In response to 1.3</w:t>
      </w:r>
    </w:p>
  </w:comment>
  <w:comment w:id="24" w:author="Diaz,Renata M" w:date="2021-12-28T11:04:00Z" w:initials="DM">
    <w:p w14:paraId="71607065" w14:textId="4C91926C" w:rsidR="005F7CBC" w:rsidRDefault="005F7CBC">
      <w:pPr>
        <w:pStyle w:val="CommentText"/>
      </w:pPr>
      <w:r>
        <w:rPr>
          <w:rStyle w:val="CommentReference"/>
        </w:rPr>
        <w:annotationRef/>
      </w:r>
      <w:r>
        <w:t>In response to 1.6</w:t>
      </w:r>
    </w:p>
  </w:comment>
  <w:comment w:id="43" w:author="Diaz,Renata M" w:date="2021-12-28T11:05:00Z" w:initials="DM">
    <w:p w14:paraId="5112251B" w14:textId="730C6998" w:rsidR="004913AD" w:rsidRDefault="004913AD">
      <w:pPr>
        <w:pStyle w:val="CommentText"/>
      </w:pPr>
      <w:r>
        <w:rPr>
          <w:rStyle w:val="CommentReference"/>
        </w:rPr>
        <w:annotationRef/>
      </w:r>
      <w:r>
        <w:t>In response to 1.7</w:t>
      </w:r>
    </w:p>
  </w:comment>
  <w:comment w:id="48" w:author="Diaz,Renata M" w:date="2021-12-28T10:52:00Z" w:initials="DM">
    <w:p w14:paraId="2A8FB89B" w14:textId="2AC252A5" w:rsidR="00776091" w:rsidRDefault="00776091">
      <w:pPr>
        <w:pStyle w:val="CommentText"/>
      </w:pPr>
      <w:r>
        <w:rPr>
          <w:rStyle w:val="CommentReference"/>
        </w:rPr>
        <w:annotationRef/>
      </w:r>
      <w:r w:rsidR="008B27E0">
        <w:rPr>
          <w:noProof/>
        </w:rPr>
        <w:t>In response to 1.1</w:t>
      </w:r>
    </w:p>
  </w:comment>
  <w:comment w:id="52" w:author="Diaz,Renata M" w:date="2021-12-28T10:53:00Z" w:initials="DM">
    <w:p w14:paraId="710C9620" w14:textId="11AADD58" w:rsidR="00776091" w:rsidRDefault="00776091">
      <w:pPr>
        <w:pStyle w:val="CommentText"/>
      </w:pPr>
      <w:r>
        <w:rPr>
          <w:rStyle w:val="CommentReference"/>
        </w:rPr>
        <w:annotationRef/>
      </w:r>
      <w:r>
        <w:t>In response to 1.1</w:t>
      </w:r>
    </w:p>
  </w:comment>
  <w:comment w:id="58" w:author="Diaz,Renata M" w:date="2021-12-28T10:55:00Z" w:initials="DM">
    <w:p w14:paraId="5AF9D5AF" w14:textId="1AEADB91" w:rsidR="000D517A" w:rsidRDefault="000D517A">
      <w:pPr>
        <w:pStyle w:val="CommentText"/>
      </w:pPr>
      <w:r>
        <w:rPr>
          <w:rStyle w:val="CommentReference"/>
        </w:rPr>
        <w:annotationRef/>
      </w:r>
      <w:r>
        <w:t>In response to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38130" w15:done="0"/>
  <w15:commentEx w15:paraId="31DED047" w15:done="0"/>
  <w15:commentEx w15:paraId="71607065" w15:done="0"/>
  <w15:commentEx w15:paraId="5112251B" w15:done="0"/>
  <w15:commentEx w15:paraId="2A8FB89B" w15:done="0"/>
  <w15:commentEx w15:paraId="710C9620" w15:done="0"/>
  <w15:commentEx w15:paraId="5AF9D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6B20" w16cex:dateUtc="2021-12-28T15:53:00Z"/>
  <w16cex:commentExtensible w16cex:durableId="25756B6C" w16cex:dateUtc="2021-12-28T15:54:00Z"/>
  <w16cex:commentExtensible w16cex:durableId="25756DD6" w16cex:dateUtc="2021-12-28T16:04:00Z"/>
  <w16cex:commentExtensible w16cex:durableId="25756E15" w16cex:dateUtc="2021-12-28T16:05:00Z"/>
  <w16cex:commentExtensible w16cex:durableId="25756B08" w16cex:dateUtc="2021-12-28T15:52:00Z"/>
  <w16cex:commentExtensible w16cex:durableId="25756B14" w16cex:dateUtc="2021-12-28T15:53:00Z"/>
  <w16cex:commentExtensible w16cex:durableId="25756B92" w16cex:dateUtc="2021-12-28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38130" w16cid:durableId="25756B20"/>
  <w16cid:commentId w16cid:paraId="31DED047" w16cid:durableId="25756B6C"/>
  <w16cid:commentId w16cid:paraId="71607065" w16cid:durableId="25756DD6"/>
  <w16cid:commentId w16cid:paraId="5112251B" w16cid:durableId="25756E15"/>
  <w16cid:commentId w16cid:paraId="2A8FB89B" w16cid:durableId="25756B08"/>
  <w16cid:commentId w16cid:paraId="710C9620" w16cid:durableId="25756B14"/>
  <w16cid:commentId w16cid:paraId="5AF9D5AF" w16cid:durableId="25756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91F4" w14:textId="77777777" w:rsidR="00F04E36" w:rsidRDefault="00F04E36">
      <w:pPr>
        <w:spacing w:line="240" w:lineRule="auto"/>
      </w:pPr>
      <w:r>
        <w:separator/>
      </w:r>
    </w:p>
  </w:endnote>
  <w:endnote w:type="continuationSeparator" w:id="0">
    <w:p w14:paraId="584C53BE" w14:textId="77777777" w:rsidR="00F04E36" w:rsidRDefault="00F04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5023" w14:textId="77777777" w:rsidR="00F04E36" w:rsidRDefault="00F04E36">
      <w:pPr>
        <w:spacing w:line="240" w:lineRule="auto"/>
      </w:pPr>
      <w:r>
        <w:separator/>
      </w:r>
    </w:p>
  </w:footnote>
  <w:footnote w:type="continuationSeparator" w:id="0">
    <w:p w14:paraId="0DE28FAC" w14:textId="77777777" w:rsidR="00F04E36" w:rsidRDefault="00F04E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F04E36">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517A"/>
    <w:rsid w:val="000D7C38"/>
    <w:rsid w:val="000F0FF1"/>
    <w:rsid w:val="0014228D"/>
    <w:rsid w:val="00176D94"/>
    <w:rsid w:val="00197E1C"/>
    <w:rsid w:val="001A122E"/>
    <w:rsid w:val="001B4244"/>
    <w:rsid w:val="001C6184"/>
    <w:rsid w:val="001D7F65"/>
    <w:rsid w:val="001F362C"/>
    <w:rsid w:val="001F4CE8"/>
    <w:rsid w:val="002002AD"/>
    <w:rsid w:val="002C69CC"/>
    <w:rsid w:val="002D0635"/>
    <w:rsid w:val="002E20CB"/>
    <w:rsid w:val="0031764E"/>
    <w:rsid w:val="003220B8"/>
    <w:rsid w:val="00332C1F"/>
    <w:rsid w:val="00340635"/>
    <w:rsid w:val="003B678B"/>
    <w:rsid w:val="003C702C"/>
    <w:rsid w:val="003C725D"/>
    <w:rsid w:val="003D5718"/>
    <w:rsid w:val="003E74A7"/>
    <w:rsid w:val="0043135B"/>
    <w:rsid w:val="004913AD"/>
    <w:rsid w:val="004A4E39"/>
    <w:rsid w:val="004B4CBE"/>
    <w:rsid w:val="004D2FE6"/>
    <w:rsid w:val="00557274"/>
    <w:rsid w:val="005B1DA0"/>
    <w:rsid w:val="005F107C"/>
    <w:rsid w:val="005F3076"/>
    <w:rsid w:val="005F7CBC"/>
    <w:rsid w:val="0062083A"/>
    <w:rsid w:val="00642227"/>
    <w:rsid w:val="00647793"/>
    <w:rsid w:val="006B5E8C"/>
    <w:rsid w:val="0070428A"/>
    <w:rsid w:val="00776091"/>
    <w:rsid w:val="00777099"/>
    <w:rsid w:val="007807F6"/>
    <w:rsid w:val="007C2779"/>
    <w:rsid w:val="007E0CF8"/>
    <w:rsid w:val="008B27E0"/>
    <w:rsid w:val="009C0045"/>
    <w:rsid w:val="009E2CCA"/>
    <w:rsid w:val="00A12B54"/>
    <w:rsid w:val="00A53884"/>
    <w:rsid w:val="00A541BE"/>
    <w:rsid w:val="00A55D70"/>
    <w:rsid w:val="00A651EB"/>
    <w:rsid w:val="00AB27AA"/>
    <w:rsid w:val="00AE66A3"/>
    <w:rsid w:val="00B030A0"/>
    <w:rsid w:val="00B03539"/>
    <w:rsid w:val="00B04DF1"/>
    <w:rsid w:val="00B1710C"/>
    <w:rsid w:val="00B17BC3"/>
    <w:rsid w:val="00B427A0"/>
    <w:rsid w:val="00B92ECB"/>
    <w:rsid w:val="00B9568F"/>
    <w:rsid w:val="00BE4809"/>
    <w:rsid w:val="00BF3677"/>
    <w:rsid w:val="00C41DA7"/>
    <w:rsid w:val="00C547F3"/>
    <w:rsid w:val="00D86814"/>
    <w:rsid w:val="00DA3923"/>
    <w:rsid w:val="00DD26E2"/>
    <w:rsid w:val="00E10E30"/>
    <w:rsid w:val="00E4751F"/>
    <w:rsid w:val="00E96888"/>
    <w:rsid w:val="00EE0207"/>
    <w:rsid w:val="00F04E36"/>
    <w:rsid w:val="00FA431B"/>
    <w:rsid w:val="00FB439A"/>
    <w:rsid w:val="00FB5BA3"/>
    <w:rsid w:val="00FC0C7C"/>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44362"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biorxiv.org/content/10.1101/2021.10.01.462799v1"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5279</Words>
  <Characters>30095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63</cp:revision>
  <cp:lastPrinted>2021-10-01T18:41:00Z</cp:lastPrinted>
  <dcterms:created xsi:type="dcterms:W3CDTF">2021-09-24T20:08:00Z</dcterms:created>
  <dcterms:modified xsi:type="dcterms:W3CDTF">2022-01-02T19:25:00Z</dcterms:modified>
</cp:coreProperties>
</file>