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8DFD2D1" w:rsidR="00F1659A" w:rsidRDefault="1895DDAB" w:rsidP="00F1659A">
      <w:pPr>
        <w:rPr>
          <w:b/>
          <w:bCs/>
          <w:color w:val="2F5496" w:themeColor="accent1" w:themeShade="BF"/>
        </w:rPr>
      </w:pPr>
      <w:r w:rsidRPr="3EA79869">
        <w:rPr>
          <w:b/>
          <w:bCs/>
          <w:color w:val="2F5496" w:themeColor="accent1" w:themeShade="BF"/>
        </w:rPr>
        <w:t>If you are including any G</w:t>
      </w:r>
      <w:r w:rsidR="453B34B4" w:rsidRPr="3EA79869">
        <w:rPr>
          <w:b/>
          <w:bCs/>
          <w:color w:val="2F5496" w:themeColor="accent1" w:themeShade="BF"/>
        </w:rPr>
        <w:t>eneral Comments</w:t>
      </w:r>
      <w:r w:rsidR="5F751D9F" w:rsidRPr="3EA79869">
        <w:rPr>
          <w:b/>
          <w:bCs/>
          <w:color w:val="2F5496" w:themeColor="accent1" w:themeShade="BF"/>
        </w:rPr>
        <w:t>, they should be placed in this section</w:t>
      </w:r>
      <w:r w:rsidR="453B34B4" w:rsidRPr="3EA79869">
        <w:rPr>
          <w:b/>
          <w:bCs/>
          <w:color w:val="2F5496" w:themeColor="accent1" w:themeShade="BF"/>
        </w:rPr>
        <w:t>. You must also provide a point-by-point response to comments below.</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Your revisions should address the specific points made by each reviewer. Both provide constructive suggestions to improve the ms.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272CD978"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C. baileyi</w:t>
      </w:r>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w:t>
      </w:r>
      <w:proofErr w:type="gramStart"/>
      <w:r>
        <w:rPr>
          <w:b/>
          <w:bCs/>
          <w:color w:val="2F5496" w:themeColor="accent1" w:themeShade="BF"/>
        </w:rPr>
        <w:t>study, and</w:t>
      </w:r>
      <w:proofErr w:type="gramEnd"/>
      <w:r>
        <w:rPr>
          <w:b/>
          <w:bCs/>
          <w:color w:val="2F5496" w:themeColor="accent1" w:themeShade="BF"/>
        </w:rPr>
        <w:t xml:space="preserve">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exclosures.</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39A6A8DA"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“Etot”,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163, 172, 181</w:t>
      </w:r>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7A30B542"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45</w:t>
      </w:r>
      <w:r w:rsidRPr="00680F9D">
        <w:rPr>
          <w:b/>
          <w:bCs/>
          <w:color w:val="2F5496" w:themeColor="accent1" w:themeShade="BF"/>
          <w:highlight w:val="yellow"/>
        </w:rPr>
        <w:t>).</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0D63C967"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714682">
        <w:rPr>
          <w:b/>
          <w:bCs/>
          <w:color w:val="2F5496" w:themeColor="accent1" w:themeShade="BF"/>
          <w:highlight w:val="yellow"/>
        </w:rPr>
        <w:t>s</w:t>
      </w:r>
      <w:r w:rsidR="008401E1">
        <w:rPr>
          <w:b/>
          <w:bCs/>
          <w:color w:val="2F5496" w:themeColor="accent1" w:themeShade="BF"/>
          <w:highlight w:val="yellow"/>
        </w:rPr>
        <w:t xml:space="preserve"> </w:t>
      </w:r>
      <w:r w:rsidR="00714682">
        <w:rPr>
          <w:b/>
          <w:bCs/>
          <w:color w:val="2F5496" w:themeColor="accent1" w:themeShade="BF"/>
          <w:highlight w:val="yellow"/>
        </w:rPr>
        <w:t>108-109</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Brown, J. H., T. J. Valone,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138BEDDB" w:rsidR="008B691C" w:rsidRDefault="000D7213" w:rsidP="007A452F">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now at lines 188-189</w:t>
      </w:r>
      <w:r w:rsidR="00E44980" w:rsidRPr="00E44980">
        <w:rPr>
          <w:b/>
          <w:bCs/>
          <w:color w:val="2F5496" w:themeColor="accent1" w:themeShade="BF"/>
          <w:highlight w:val="yellow"/>
        </w:rPr>
        <w:t>)</w:t>
      </w:r>
      <w:r w:rsidR="00E44980">
        <w:rPr>
          <w:b/>
          <w:bCs/>
          <w:color w:val="2F5496" w:themeColor="accent1" w:themeShade="BF"/>
        </w:rPr>
        <w:t>!</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5 - L114-120: Could the exclosure with small holes prevent other species (</w:t>
      </w:r>
      <w:proofErr w:type="gramStart"/>
      <w:r w:rsidR="00152D5E" w:rsidRPr="00152D5E">
        <w:t>e.g.</w:t>
      </w:r>
      <w:proofErr w:type="gramEnd"/>
      <w:r w:rsidR="00152D5E" w:rsidRPr="00152D5E">
        <w:t xml:space="preserve"> larger predators of rodents) to enter in the exclosure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7A09FC6" w:rsidR="008B691C" w:rsidRDefault="000A4DF8" w:rsidP="008B691C">
      <w:pPr>
        <w:rPr>
          <w:b/>
          <w:bCs/>
          <w:color w:val="2F5496" w:themeColor="accent1" w:themeShade="BF"/>
        </w:rPr>
      </w:pPr>
      <w:r>
        <w:rPr>
          <w:b/>
          <w:bCs/>
          <w:color w:val="2F5496" w:themeColor="accent1" w:themeShade="BF"/>
        </w:rPr>
        <w:t>The primary predators to rodents in this system are coyotes, birds of prey, and snakes</w:t>
      </w:r>
      <w:r w:rsidR="000D22F5">
        <w:rPr>
          <w:b/>
          <w:bCs/>
          <w:color w:val="2F5496" w:themeColor="accent1" w:themeShade="BF"/>
        </w:rPr>
        <w:t xml:space="preserve">. The plot fencing is low (0.5m) and does not appear to impede coyotes or aerial predators. The fences may affect some snakes, but we have observed snakes using the holes cut in the fences for the rodents, and they are also able to enter the plots by going over the fences or climbing along vegetation. </w:t>
      </w:r>
      <w:r>
        <w:rPr>
          <w:b/>
          <w:bCs/>
          <w:color w:val="2F5496" w:themeColor="accent1" w:themeShade="BF"/>
        </w:rPr>
        <w:t xml:space="preserve">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Neotoma albigula, Onychomys leucogaster, Onychomys torridus, Sigmodon fulviventer, Sigmodon hispidus, Sigmodon ochrognathus</w:t>
      </w:r>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exclosure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exclosure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noProof/>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Munger, J. C., and J. H. Brown. 1981. Competition in Desert Rodents: An Experiment with Semipermeable Exclosures.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lastRenderedPageBreak/>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5D18D188" w14:textId="19B0A852" w:rsidR="008B691C"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FC2783">
        <w:rPr>
          <w:b/>
          <w:bCs/>
          <w:color w:val="2F5496" w:themeColor="accent1" w:themeShade="BF"/>
        </w:rPr>
        <w:t>(</w:t>
      </w:r>
      <w:r w:rsidR="0020180F" w:rsidRPr="00FC2783">
        <w:rPr>
          <w:b/>
          <w:bCs/>
          <w:color w:val="2F5496" w:themeColor="accent1" w:themeShade="BF"/>
        </w:rPr>
        <w:t>specifically, Bledsoe and Ernest 2019, for the first, and Christensen et al</w:t>
      </w:r>
      <w:r w:rsidR="00150868" w:rsidRPr="00FC2783">
        <w:rPr>
          <w:b/>
          <w:bCs/>
          <w:color w:val="2F5496" w:themeColor="accent1" w:themeShade="BF"/>
        </w:rPr>
        <w:t>.</w:t>
      </w:r>
      <w:r w:rsidR="0020180F" w:rsidRPr="00FC2783">
        <w:rPr>
          <w:b/>
          <w:bCs/>
          <w:color w:val="2F5496" w:themeColor="accent1" w:themeShade="BF"/>
        </w:rPr>
        <w:t xml:space="preserve"> 2018, for the second</w:t>
      </w:r>
      <w:r w:rsidR="008337A2" w:rsidRPr="00FC2783">
        <w:rPr>
          <w:b/>
          <w:bCs/>
          <w:color w:val="2F5496" w:themeColor="accent1" w:themeShade="BF"/>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(using the first observation of </w:t>
      </w:r>
      <w:r w:rsidR="00E0031E">
        <w:rPr>
          <w:b/>
          <w:bCs/>
          <w:i/>
          <w:iCs/>
          <w:color w:val="2F5496" w:themeColor="accent1" w:themeShade="BF"/>
        </w:rPr>
        <w:t>C. balieyi</w:t>
      </w:r>
      <w:r w:rsidR="00E0031E">
        <w:rPr>
          <w:b/>
          <w:bCs/>
          <w:color w:val="2F5496" w:themeColor="accent1" w:themeShade="BF"/>
        </w:rPr>
        <w:t xml:space="preserve"> at the site as the first boundary, and </w:t>
      </w:r>
      <w:r w:rsidR="00FC2783">
        <w:rPr>
          <w:b/>
          <w:bCs/>
          <w:color w:val="2F5496" w:themeColor="accent1" w:themeShade="BF"/>
        </w:rPr>
        <w:t>the beginning, middle,</w:t>
      </w:r>
      <w:r w:rsidR="00BF60BF">
        <w:rPr>
          <w:b/>
          <w:bCs/>
          <w:color w:val="2F5496" w:themeColor="accent1" w:themeShade="BF"/>
        </w:rPr>
        <w:t xml:space="preserve"> </w:t>
      </w:r>
      <w:r w:rsidR="00FC2783">
        <w:rPr>
          <w:b/>
          <w:bCs/>
          <w:color w:val="2F5496" w:themeColor="accent1" w:themeShade="BF"/>
        </w:rPr>
        <w:t>and end of the</w:t>
      </w:r>
      <w:r w:rsidR="00E0031E">
        <w:rPr>
          <w:b/>
          <w:bCs/>
          <w:color w:val="2F5496" w:themeColor="accent1" w:themeShade="BF"/>
        </w:rPr>
        <w:t xml:space="preserve"> 18-month window corresponding to the 95% credible interval for the timing of the second </w:t>
      </w:r>
      <w:r w:rsidR="00FC2783">
        <w:rPr>
          <w:b/>
          <w:bCs/>
          <w:color w:val="2F5496" w:themeColor="accent1" w:themeShade="BF"/>
        </w:rPr>
        <w:t>transition, as estimated by the model presented in Christensen et al. 2018</w:t>
      </w:r>
      <w:r w:rsidR="00E0031E">
        <w:rPr>
          <w:b/>
          <w:bCs/>
          <w:color w:val="2F5496" w:themeColor="accent1" w:themeShade="BF"/>
        </w:rPr>
        <w:t>)</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128-134</w:t>
      </w:r>
      <w:r w:rsidRPr="00C97036">
        <w:rPr>
          <w:b/>
          <w:bCs/>
          <w:color w:val="2F5496" w:themeColor="accent1" w:themeShade="BF"/>
          <w:highlight w:val="yellow"/>
        </w:rPr>
        <w:t>).</w:t>
      </w:r>
      <w:r>
        <w:rPr>
          <w:b/>
          <w:bCs/>
          <w:color w:val="2F5496" w:themeColor="accent1" w:themeShade="BF"/>
        </w:rPr>
        <w:t xml:space="preserve"> </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25DCD6BB" w:rsidR="008B691C" w:rsidRDefault="004C26A4" w:rsidP="008B691C">
      <w:pPr>
        <w:rPr>
          <w:b/>
          <w:bCs/>
          <w:color w:val="2F5496" w:themeColor="accent1" w:themeShade="BF"/>
        </w:rPr>
      </w:pPr>
      <w:r>
        <w:rPr>
          <w:b/>
          <w:bCs/>
          <w:color w:val="2F5496" w:themeColor="accent1" w:themeShade="BF"/>
        </w:rPr>
        <w:t xml:space="preserve">We have expanded the explanation of this metabolic scaling relationship </w:t>
      </w:r>
      <w:r w:rsidRPr="004C26A4">
        <w:rPr>
          <w:b/>
          <w:bCs/>
          <w:color w:val="2F5496" w:themeColor="accent1" w:themeShade="BF"/>
          <w:highlight w:val="yellow"/>
        </w:rPr>
        <w:t>(line</w:t>
      </w:r>
      <w:r w:rsidR="00376785">
        <w:rPr>
          <w:b/>
          <w:bCs/>
          <w:color w:val="2F5496" w:themeColor="accent1" w:themeShade="BF"/>
          <w:highlight w:val="yellow"/>
        </w:rPr>
        <w:t>s 146-147</w:t>
      </w:r>
      <w:r w:rsidRPr="004C26A4">
        <w:rPr>
          <w:b/>
          <w:bCs/>
          <w:color w:val="2F5496" w:themeColor="accent1" w:themeShade="BF"/>
          <w:highlight w:val="yellow"/>
        </w:rPr>
        <w:t>).</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2BC07774"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 xml:space="preserve">Our data consists of monthly censuses, which are then combined 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`nlme`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175-182</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11B365F9"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r>
        <w:rPr>
          <w:b/>
          <w:bCs/>
          <w:i/>
          <w:iCs/>
          <w:color w:val="2F5496" w:themeColor="accent1" w:themeShade="BF"/>
        </w:rPr>
        <w:t xml:space="preserve">Dipodomys </w:t>
      </w:r>
      <w:r>
        <w:rPr>
          <w:b/>
          <w:bCs/>
          <w:color w:val="2F5496" w:themeColor="accent1" w:themeShade="BF"/>
        </w:rPr>
        <w:t xml:space="preserve">or </w:t>
      </w:r>
      <w:r>
        <w:rPr>
          <w:b/>
          <w:bCs/>
          <w:i/>
          <w:color w:val="2F5496" w:themeColor="accent1" w:themeShade="BF"/>
        </w:rPr>
        <w:t>C. baileyi</w:t>
      </w:r>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w:t>
      </w:r>
      <w:r w:rsidR="004E7749">
        <w:rPr>
          <w:b/>
          <w:bCs/>
          <w:iCs/>
          <w:color w:val="2F5496" w:themeColor="accent1" w:themeShade="BF"/>
        </w:rPr>
        <w:lastRenderedPageBreak/>
        <w:t xml:space="preserve">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624EB704"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w:t>
      </w:r>
      <w:r w:rsidR="00BF60BF">
        <w:rPr>
          <w:b/>
          <w:bCs/>
          <w:color w:val="2F5496" w:themeColor="accent1" w:themeShade="BF"/>
        </w:rPr>
        <w:t>precise</w:t>
      </w:r>
      <w:r w:rsidR="005C493E">
        <w:rPr>
          <w:b/>
          <w:bCs/>
          <w:color w:val="2F5496" w:themeColor="accent1" w:themeShade="BF"/>
        </w:rPr>
        <w:t xml:space="preserve"> model </w:t>
      </w:r>
      <w:r w:rsidR="000E6A0A">
        <w:rPr>
          <w:b/>
          <w:bCs/>
          <w:color w:val="2F5496" w:themeColor="accent1" w:themeShade="BF"/>
        </w:rPr>
        <w:t>specifications</w:t>
      </w:r>
      <w:r w:rsidR="005C493E">
        <w:rPr>
          <w:b/>
          <w:bCs/>
          <w:color w:val="2F5496" w:themeColor="accent1" w:themeShade="BF"/>
        </w:rPr>
        <w:t xml:space="preserve"> used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175-177, </w:t>
      </w:r>
      <w:r w:rsidR="009F6190">
        <w:rPr>
          <w:b/>
          <w:bCs/>
          <w:color w:val="2F5496" w:themeColor="accent1" w:themeShade="BF"/>
        </w:rPr>
        <w:t>187-188, 201</w:t>
      </w:r>
      <w:r w:rsidR="005C493E">
        <w:rPr>
          <w:b/>
          <w:bCs/>
          <w:color w:val="2F5496" w:themeColor="accent1" w:themeShade="BF"/>
        </w:rPr>
        <w:t>)</w:t>
      </w:r>
      <w:r w:rsidR="00721ABE">
        <w:rPr>
          <w:b/>
          <w:bCs/>
          <w:color w:val="2F5496" w:themeColor="accent1" w:themeShade="BF"/>
        </w:rPr>
        <w:t>, expanded the details on model fitting and selection in the supplement (S1, S3, S4), and encourage interested readers to consult the online repositories for fully annotated code</w:t>
      </w:r>
      <w:r w:rsidR="005C493E">
        <w:rPr>
          <w:b/>
          <w:bCs/>
          <w:color w:val="2F5496" w:themeColor="accent1" w:themeShade="BF"/>
        </w:rPr>
        <w:t>.</w:t>
      </w:r>
    </w:p>
    <w:p w14:paraId="3E98A144" w14:textId="6FC0E840"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C. baileyi</w:t>
      </w:r>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treatment + time period + </w:t>
      </w:r>
      <w:proofErr w:type="gramStart"/>
      <w:r w:rsidR="002E0F18">
        <w:rPr>
          <w:b/>
          <w:bCs/>
          <w:color w:val="2F5496" w:themeColor="accent1" w:themeShade="BF"/>
        </w:rPr>
        <w:t>treatment:time</w:t>
      </w:r>
      <w:proofErr w:type="gramEnd"/>
      <w:r w:rsidR="002E0F18">
        <w:rPr>
          <w:b/>
          <w:bCs/>
          <w:color w:val="2F5496" w:themeColor="accent1" w:themeShade="BF"/>
        </w:rPr>
        <w:t xml:space="preserve"> period. We note that the interaction term (</w:t>
      </w:r>
      <w:proofErr w:type="gramStart"/>
      <w:r w:rsidR="002E0F18">
        <w:rPr>
          <w:b/>
          <w:bCs/>
          <w:color w:val="2F5496" w:themeColor="accent1" w:themeShade="BF"/>
        </w:rPr>
        <w:t>treatment:time</w:t>
      </w:r>
      <w:proofErr w:type="gramEnd"/>
      <w:r w:rsidR="002E0F18">
        <w:rPr>
          <w:b/>
          <w:bCs/>
          <w:color w:val="2F5496" w:themeColor="accent1" w:themeShade="BF"/>
        </w:rPr>
        <w:t xml:space="preserve"> period) </w:t>
      </w:r>
      <w:r w:rsidR="00E96B8A">
        <w:rPr>
          <w:b/>
          <w:bCs/>
          <w:color w:val="2F5496" w:themeColor="accent1" w:themeShade="BF"/>
        </w:rPr>
        <w:t xml:space="preserve">has no qualitative effect on the results, and does not improve model fit over including separate, non-interacting effects for treatment and time period (AIC with interaction = 237; AIC with separate, non-interacting terms = 231). </w:t>
      </w:r>
      <w:r w:rsidR="002E0F18">
        <w:rPr>
          <w:b/>
          <w:bCs/>
          <w:color w:val="2F5496" w:themeColor="accent1" w:themeShade="BF"/>
        </w:rPr>
        <w:t>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we believed that the effect of time period could vary between exclosures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In this revision we have removed the interaction term</w:t>
      </w:r>
      <w:r w:rsidR="0000552E">
        <w:rPr>
          <w:b/>
          <w:bCs/>
          <w:color w:val="2F5496" w:themeColor="accent1" w:themeShade="BF"/>
        </w:rPr>
        <w:t>,</w:t>
      </w:r>
      <w:r w:rsidR="00BE5227">
        <w:rPr>
          <w:b/>
          <w:bCs/>
          <w:color w:val="2F5496" w:themeColor="accent1" w:themeShade="BF"/>
        </w:rPr>
        <w:t xml:space="preserve"> resulting in the model: treatment + time period</w:t>
      </w:r>
      <w:r w:rsidR="000674F9">
        <w:rPr>
          <w:b/>
          <w:bCs/>
          <w:color w:val="2F5496" w:themeColor="accent1" w:themeShade="BF"/>
        </w:rPr>
        <w:t xml:space="preserve">. We </w:t>
      </w:r>
      <w:r w:rsidR="00BE5227">
        <w:rPr>
          <w:b/>
          <w:bCs/>
          <w:color w:val="2F5496" w:themeColor="accent1" w:themeShade="BF"/>
        </w:rPr>
        <w:t xml:space="preserve">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F66E90" w:rsidRPr="005C493E">
        <w:rPr>
          <w:b/>
          <w:bCs/>
          <w:color w:val="2F5496" w:themeColor="accent1" w:themeShade="BF"/>
          <w:highlight w:val="yellow"/>
        </w:rPr>
        <w:t>lines</w:t>
      </w:r>
      <w:r w:rsidR="00F66E90">
        <w:rPr>
          <w:b/>
          <w:bCs/>
          <w:color w:val="2F5496" w:themeColor="accent1" w:themeShade="BF"/>
        </w:rPr>
        <w:t xml:space="preserve"> 191-200, </w:t>
      </w:r>
      <w:r w:rsidR="00BE5227">
        <w:rPr>
          <w:b/>
          <w:bCs/>
          <w:color w:val="2F5496" w:themeColor="accent1" w:themeShade="BF"/>
        </w:rPr>
        <w:t xml:space="preserve">S1). </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397D0F4A"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187, 201</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3B8293FB"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 at </w:t>
      </w:r>
      <w:r w:rsidR="00FE6789" w:rsidRPr="00FE6789">
        <w:rPr>
          <w:b/>
          <w:bCs/>
          <w:color w:val="2F5496" w:themeColor="accent1" w:themeShade="BF"/>
          <w:highlight w:val="yellow"/>
        </w:rPr>
        <w:t>lines</w:t>
      </w:r>
      <w:r w:rsidR="00755047">
        <w:rPr>
          <w:b/>
          <w:bCs/>
          <w:color w:val="2F5496" w:themeColor="accent1" w:themeShade="BF"/>
        </w:rPr>
        <w:t>)</w:t>
      </w:r>
      <w:r w:rsidR="008C4D3B">
        <w:rPr>
          <w:b/>
          <w:bCs/>
          <w:color w:val="2F5496" w:themeColor="accent1" w:themeShade="BF"/>
        </w:rPr>
        <w:t>.</w:t>
      </w:r>
    </w:p>
    <w:p w14:paraId="0C94F0AD" w14:textId="0F5FE456"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are therefore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6CC77701" w:rsidR="00330108" w:rsidRDefault="00DA1D3E" w:rsidP="007A452F">
      <w:pPr>
        <w:rPr>
          <w:b/>
          <w:bCs/>
          <w:color w:val="2F5496" w:themeColor="accent1" w:themeShade="BF"/>
        </w:rPr>
      </w:pPr>
      <w:r>
        <w:rPr>
          <w:b/>
          <w:bCs/>
          <w:color w:val="2F5496" w:themeColor="accent1" w:themeShade="BF"/>
        </w:rPr>
        <w:lastRenderedPageBreak/>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C. baileyi</w:t>
      </w:r>
      <w:r>
        <w:rPr>
          <w:b/>
          <w:bCs/>
          <w:iCs/>
          <w:color w:val="2F5496" w:themeColor="accent1" w:themeShade="BF"/>
        </w:rPr>
        <w:t xml:space="preserve">, and the subsequent breakdown of compensation associated with </w:t>
      </w:r>
      <w:r>
        <w:rPr>
          <w:b/>
          <w:bCs/>
          <w:i/>
          <w:iCs/>
          <w:color w:val="2F5496" w:themeColor="accent1" w:themeShade="BF"/>
        </w:rPr>
        <w:t>C. baileyi</w:t>
      </w:r>
      <w:r>
        <w:rPr>
          <w:b/>
          <w:bCs/>
          <w:color w:val="2F5496" w:themeColor="accent1" w:themeShade="BF"/>
        </w:rPr>
        <w:t xml:space="preserve">’s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sidR="00566B0D">
        <w:rPr>
          <w:b/>
          <w:bCs/>
          <w:color w:val="2F5496" w:themeColor="accent1" w:themeShade="BF"/>
        </w:rPr>
        <w:t xml:space="preserve"> 23-24, 30-32</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3B2D514F"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Pr="008F7A96">
        <w:rPr>
          <w:b/>
          <w:bCs/>
          <w:color w:val="2F5496" w:themeColor="accent1" w:themeShade="BF"/>
          <w:highlight w:val="yellow"/>
        </w:rPr>
        <w:t>line</w:t>
      </w:r>
      <w:r w:rsidR="005B3398">
        <w:rPr>
          <w:b/>
          <w:bCs/>
          <w:color w:val="2F5496" w:themeColor="accent1" w:themeShade="BF"/>
        </w:rPr>
        <w:t>s 30-33</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34026886"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Pr="00E5664B">
        <w:rPr>
          <w:b/>
          <w:bCs/>
          <w:color w:val="2F5496" w:themeColor="accent1" w:themeShade="BF"/>
          <w:highlight w:val="yellow"/>
        </w:rPr>
        <w:t>lines</w:t>
      </w:r>
      <w:r w:rsidR="007011E7">
        <w:rPr>
          <w:b/>
          <w:bCs/>
          <w:color w:val="2F5496" w:themeColor="accent1" w:themeShade="BF"/>
        </w:rPr>
        <w:t xml:space="preserve"> 47-48</w:t>
      </w:r>
      <w:r>
        <w:rPr>
          <w:b/>
          <w:bCs/>
          <w:color w:val="2F5496" w:themeColor="accent1" w:themeShade="BF"/>
        </w:rPr>
        <w:t>).</w:t>
      </w:r>
    </w:p>
    <w:p w14:paraId="49D6F6E3" w14:textId="79CA4309"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w:t>
      </w:r>
      <w:r w:rsidR="00941C8C">
        <w:rPr>
          <w:b/>
          <w:bCs/>
          <w:color w:val="2F5496" w:themeColor="accent1" w:themeShade="BF"/>
        </w:rPr>
        <w:t>study</w:t>
      </w:r>
      <w:r>
        <w:rPr>
          <w:b/>
          <w:bCs/>
          <w:color w:val="2F5496" w:themeColor="accent1" w:themeShade="BF"/>
        </w:rPr>
        <w:t xml:space="preserv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specific species (kangaroo rats) selected because of their keystone functional role in this community, and so the effects of changing species richness are inextricable from strong effects on species and functional composition. </w:t>
      </w:r>
      <w:r w:rsidR="009E57A9">
        <w:rPr>
          <w:b/>
          <w:bCs/>
          <w:color w:val="2F5496" w:themeColor="accent1" w:themeShade="BF"/>
        </w:rPr>
        <w:t xml:space="preserve">Expanding beyond the scope of this study, richness effects (and how they manifest at metacommunity and evolutionary scales) are an important dimension of this area of </w:t>
      </w:r>
      <w:r w:rsidR="009E57A9">
        <w:rPr>
          <w:b/>
          <w:bCs/>
          <w:color w:val="2F5496" w:themeColor="accent1" w:themeShade="BF"/>
        </w:rPr>
        <w:lastRenderedPageBreak/>
        <w:t>research</w:t>
      </w:r>
      <w:r w:rsidR="00294624">
        <w:rPr>
          <w:b/>
          <w:bCs/>
          <w:color w:val="2F5496" w:themeColor="accent1" w:themeShade="BF"/>
        </w:rPr>
        <w:t>, and we have added a specific reference to the importance of species diversity in this context (</w:t>
      </w:r>
      <w:r w:rsidR="009E57A9" w:rsidRPr="009E57A9">
        <w:rPr>
          <w:b/>
          <w:bCs/>
          <w:color w:val="2F5496" w:themeColor="accent1" w:themeShade="BF"/>
          <w:highlight w:val="yellow"/>
        </w:rPr>
        <w:t>line</w:t>
      </w:r>
      <w:r w:rsidR="00294624">
        <w:rPr>
          <w:b/>
          <w:bCs/>
          <w:color w:val="2F5496" w:themeColor="accent1" w:themeShade="BF"/>
        </w:rPr>
        <w:t>s 477-78</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74033230" w:rsidR="00330108" w:rsidRPr="006D7E17" w:rsidRDefault="00F65D54" w:rsidP="007A452F">
      <w:pPr>
        <w:rPr>
          <w:b/>
          <w:bCs/>
          <w:color w:val="2F5496" w:themeColor="accent1" w:themeShade="BF"/>
        </w:rPr>
      </w:pPr>
      <w:r>
        <w:rPr>
          <w:b/>
          <w:bCs/>
          <w:color w:val="2F5496" w:themeColor="accent1" w:themeShade="BF"/>
        </w:rPr>
        <w:t>Done!</w:t>
      </w:r>
      <w:r w:rsidR="004815B2">
        <w:rPr>
          <w:b/>
          <w:bCs/>
          <w:color w:val="2F5496" w:themeColor="accent1" w:themeShade="BF"/>
        </w:rPr>
        <w:t xml:space="preserve"> (</w:t>
      </w:r>
      <w:proofErr w:type="gramStart"/>
      <w:r w:rsidR="004815B2" w:rsidRPr="004815B2">
        <w:rPr>
          <w:b/>
          <w:bCs/>
          <w:color w:val="2F5496" w:themeColor="accent1" w:themeShade="BF"/>
          <w:highlight w:val="yellow"/>
        </w:rPr>
        <w:t>line</w:t>
      </w:r>
      <w:proofErr w:type="gramEnd"/>
      <w:r w:rsidR="008B44B2">
        <w:rPr>
          <w:b/>
          <w:bCs/>
          <w:color w:val="2F5496" w:themeColor="accent1" w:themeShade="BF"/>
        </w:rPr>
        <w:t xml:space="preserve"> 66</w:t>
      </w:r>
      <w:r w:rsidR="004815B2">
        <w:rPr>
          <w:b/>
          <w:bCs/>
          <w:color w:val="2F5496" w:themeColor="accent1" w:themeShade="BF"/>
        </w:rPr>
        <w:t>)</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39A94337" w:rsidR="00330108" w:rsidRPr="006D7E17" w:rsidRDefault="004815B2" w:rsidP="007A452F">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sidR="003852A0">
        <w:rPr>
          <w:b/>
          <w:bCs/>
          <w:color w:val="2F5496" w:themeColor="accent1" w:themeShade="BF"/>
        </w:rPr>
        <w:t xml:space="preserve"> 129-130</w:t>
      </w:r>
      <w:r>
        <w:rPr>
          <w:b/>
          <w:bCs/>
          <w:color w:val="2F5496" w:themeColor="accent1" w:themeShade="BF"/>
        </w:rPr>
        <w:t>).</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L122, L136: Given the small and unbalanced sample sizes (4 controls and 5 exclosures), it makes me uncomfortable that the data were combined across all plots within treatments. Note that there may be effects of the number of fluctuating variables (plots in this case) on the temporal mean and variance (Yachi and Loreau 1999 PNAS). I recommend randomly choosing 4 of the 5 exclosures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473862DD" w:rsidR="00330108" w:rsidRDefault="0000420C" w:rsidP="00330108">
      <w:pPr>
        <w:rPr>
          <w:b/>
          <w:bCs/>
          <w:color w:val="2F5496" w:themeColor="accent1" w:themeShade="BF"/>
        </w:rPr>
      </w:pPr>
      <w:r>
        <w:rPr>
          <w:b/>
          <w:bCs/>
          <w:color w:val="2F5496" w:themeColor="accent1" w:themeShade="BF"/>
        </w:rPr>
        <w:t>We have made this change</w:t>
      </w:r>
      <w:r w:rsidR="00B30B8F">
        <w:rPr>
          <w:b/>
          <w:bCs/>
          <w:color w:val="2F5496" w:themeColor="accent1" w:themeShade="BF"/>
        </w:rPr>
        <w:t xml:space="preserve"> (</w:t>
      </w:r>
      <w:r w:rsidR="00B30B8F" w:rsidRPr="00B30B8F">
        <w:rPr>
          <w:b/>
          <w:bCs/>
          <w:color w:val="2F5496" w:themeColor="accent1" w:themeShade="BF"/>
          <w:highlight w:val="yellow"/>
        </w:rPr>
        <w:t>lines 142-144)</w:t>
      </w:r>
      <w:r w:rsidRPr="00B30B8F">
        <w:rPr>
          <w:b/>
          <w:bCs/>
          <w:color w:val="2F5496" w:themeColor="accent1" w:themeShade="BF"/>
          <w:highlight w:val="yellow"/>
        </w:rPr>
        <w:t>.</w:t>
      </w:r>
      <w:r>
        <w:rPr>
          <w:b/>
          <w:bCs/>
          <w:color w:val="2F5496" w:themeColor="accent1" w:themeShade="BF"/>
        </w:rPr>
        <w:t xml:space="preserve"> With a random subset of 4 (of 5) exclosure plots, results are qualitatively unchanged. </w:t>
      </w:r>
    </w:p>
    <w:p w14:paraId="6FC56B35" w14:textId="13A4995D" w:rsidR="00D779C4"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repeat</w:t>
      </w:r>
      <w:r w:rsidR="00B93541">
        <w:rPr>
          <w:b/>
          <w:bCs/>
          <w:color w:val="2F5496" w:themeColor="accent1" w:themeShade="BF"/>
        </w:rPr>
        <w:t>ed</w:t>
      </w:r>
      <w:r>
        <w:rPr>
          <w:b/>
          <w:bCs/>
          <w:color w:val="2F5496" w:themeColor="accent1" w:themeShade="BF"/>
        </w:rPr>
        <w:t xml:space="preserve"> </w:t>
      </w:r>
      <w:r w:rsidR="00B93541">
        <w:rPr>
          <w:b/>
          <w:bCs/>
          <w:color w:val="2F5496" w:themeColor="accent1" w:themeShade="BF"/>
        </w:rPr>
        <w:t>our</w:t>
      </w:r>
      <w:r>
        <w:rPr>
          <w:b/>
          <w:bCs/>
          <w:color w:val="2F5496" w:themeColor="accent1" w:themeShade="BF"/>
        </w:rPr>
        <w:t xml:space="preserve"> analyses using plot-level values for exclosure plots (but using the treatment-wide means for control plots, in order to make the necessary calculations), and including plot as a random effect. The results were qualitatively the same</w:t>
      </w:r>
      <w:r w:rsidR="00B93541">
        <w:rPr>
          <w:b/>
          <w:bCs/>
          <w:color w:val="2F5496" w:themeColor="accent1" w:themeShade="BF"/>
        </w:rPr>
        <w:t xml:space="preserve"> (see </w:t>
      </w:r>
      <w:r w:rsidR="00BF2A52">
        <w:rPr>
          <w:b/>
          <w:bCs/>
          <w:color w:val="2F5496" w:themeColor="accent1" w:themeShade="BF"/>
        </w:rPr>
        <w:t>Appendix S4</w:t>
      </w:r>
      <w:r w:rsidR="00B93541">
        <w:rPr>
          <w:b/>
          <w:bCs/>
          <w:color w:val="2F5496" w:themeColor="accent1" w:themeShade="BF"/>
        </w:rPr>
        <w:t xml:space="preserve">).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exclosure plots consistently throughout the analysis. </w:t>
      </w:r>
    </w:p>
    <w:p w14:paraId="256695CE" w14:textId="6B8DB628" w:rsidR="009602FD" w:rsidRDefault="009602FD" w:rsidP="007A452F">
      <w:pPr>
        <w:rPr>
          <w:b/>
          <w:bCs/>
          <w:color w:val="2F5496" w:themeColor="accent1" w:themeShade="BF"/>
        </w:rPr>
      </w:pPr>
    </w:p>
    <w:p w14:paraId="369210D2" w14:textId="396C8735" w:rsidR="009602FD" w:rsidRPr="00D81622" w:rsidRDefault="009602FD" w:rsidP="007A452F">
      <w:pPr>
        <w:rPr>
          <w:b/>
          <w:bCs/>
          <w:color w:val="2F5496" w:themeColor="accent1" w:themeShade="BF"/>
        </w:rPr>
      </w:pPr>
      <w:r>
        <w:rPr>
          <w:b/>
          <w:bCs/>
          <w:color w:val="2F5496" w:themeColor="accent1" w:themeShade="BF"/>
        </w:rPr>
        <w:t>[S4 results here]</w:t>
      </w:r>
    </w:p>
    <w:p w14:paraId="46108E8A" w14:textId="77777777" w:rsidR="00330108" w:rsidRDefault="00330108" w:rsidP="00330108">
      <w:pPr>
        <w:rPr>
          <w:b/>
          <w:bCs/>
        </w:rPr>
      </w:pPr>
      <w:r>
        <w:rPr>
          <w:b/>
          <w:bCs/>
        </w:rPr>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55870F71"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 (</w:t>
      </w:r>
      <w:r w:rsidRPr="00F0367E">
        <w:rPr>
          <w:b/>
          <w:bCs/>
          <w:color w:val="2F5496" w:themeColor="accent1" w:themeShade="BF"/>
          <w:highlight w:val="yellow"/>
        </w:rPr>
        <w:t>lines</w:t>
      </w:r>
      <w:r w:rsidR="00032E03" w:rsidRPr="00F0367E">
        <w:rPr>
          <w:b/>
          <w:bCs/>
          <w:color w:val="2F5496" w:themeColor="accent1" w:themeShade="BF"/>
          <w:highlight w:val="yellow"/>
        </w:rPr>
        <w:t xml:space="preserve"> 191-195</w:t>
      </w:r>
      <w:r>
        <w:rPr>
          <w:b/>
          <w:bCs/>
          <w:color w:val="2F5496" w:themeColor="accent1" w:themeShade="BF"/>
        </w:rPr>
        <w:t xml:space="preserve">). In all instances, the 95% intervals represent model estimates for the time period (or, in the case of </w:t>
      </w:r>
      <w:r>
        <w:rPr>
          <w:b/>
          <w:bCs/>
          <w:i/>
          <w:color w:val="2F5496" w:themeColor="accent1" w:themeShade="BF"/>
        </w:rPr>
        <w:t>C. baileyi</w:t>
      </w:r>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text (</w:t>
      </w:r>
      <w:r w:rsidR="00032E03" w:rsidRPr="00F0367E">
        <w:rPr>
          <w:b/>
          <w:bCs/>
          <w:iCs/>
          <w:color w:val="2F5496" w:themeColor="accent1" w:themeShade="BF"/>
          <w:highlight w:val="yellow"/>
        </w:rPr>
        <w:t>lines 221-225</w:t>
      </w:r>
      <w:r w:rsidR="00032E03">
        <w:rPr>
          <w:b/>
          <w:bCs/>
          <w:iCs/>
          <w:color w:val="2F5496" w:themeColor="accent1" w:themeShade="BF"/>
        </w:rPr>
        <w:t>)</w:t>
      </w:r>
      <w:r>
        <w:rPr>
          <w:b/>
          <w:bCs/>
          <w:iCs/>
          <w:color w:val="2F5496" w:themeColor="accent1" w:themeShade="BF"/>
        </w:rPr>
        <w:t xml:space="preserve">. </w:t>
      </w:r>
    </w:p>
    <w:p w14:paraId="7B0C6370" w14:textId="35C30CA6" w:rsidR="00AA2308" w:rsidRPr="00C563BD" w:rsidRDefault="00AA2308" w:rsidP="007A452F">
      <w:pPr>
        <w:rPr>
          <w:b/>
          <w:bCs/>
          <w:iCs/>
        </w:rPr>
      </w:pPr>
      <w:r>
        <w:rPr>
          <w:b/>
          <w:bCs/>
          <w:iCs/>
          <w:color w:val="2F5496" w:themeColor="accent1" w:themeShade="BF"/>
        </w:rPr>
        <w:t>As we explain in our response to 2.9, we also explored the consequences of consolidating values across plots within treatments, and found no qualitative effect on the results</w:t>
      </w:r>
      <w:r w:rsidR="00E5019C">
        <w:rPr>
          <w:b/>
          <w:bCs/>
          <w:iCs/>
          <w:color w:val="2F5496" w:themeColor="accent1" w:themeShade="BF"/>
        </w:rPr>
        <w:t xml:space="preserve"> (Appendix S4)</w:t>
      </w:r>
      <w:r w:rsidR="009602FD">
        <w:rPr>
          <w:b/>
          <w:bCs/>
          <w:iCs/>
          <w:color w:val="2F5496" w:themeColor="accent1" w:themeShade="BF"/>
        </w:rPr>
        <w:t>.</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30EC28AE"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0D5571">
        <w:rPr>
          <w:b/>
          <w:bCs/>
          <w:color w:val="2F5496" w:themeColor="accent1" w:themeShade="BF"/>
        </w:rPr>
        <w:t xml:space="preserve"> 243-245</w:t>
      </w:r>
      <w:r w:rsidR="00645C06">
        <w:rPr>
          <w:b/>
          <w:bCs/>
          <w:color w:val="2F5496" w:themeColor="accent1" w:themeShade="BF"/>
        </w:rPr>
        <w:t>)</w:t>
      </w:r>
      <w:r w:rsidR="00D14E31">
        <w:rPr>
          <w:b/>
          <w:bCs/>
          <w:color w:val="2F5496" w:themeColor="accent1" w:themeShade="BF"/>
        </w:rPr>
        <w:t>.</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29FBE20D"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w:t>
      </w:r>
      <w:r w:rsidR="00D554D0">
        <w:rPr>
          <w:b/>
          <w:bCs/>
          <w:color w:val="2F5496" w:themeColor="accent1" w:themeShade="BF"/>
        </w:rPr>
        <w:t xml:space="preserve"> 285) </w:t>
      </w:r>
      <w:r>
        <w:rPr>
          <w:b/>
          <w:bCs/>
          <w:color w:val="2F5496" w:themeColor="accent1" w:themeShade="BF"/>
        </w:rPr>
        <w:t xml:space="preserve">to capture the two points that 1) </w:t>
      </w:r>
      <w:r>
        <w:rPr>
          <w:b/>
          <w:bCs/>
          <w:i/>
          <w:color w:val="2F5496" w:themeColor="accent1" w:themeShade="BF"/>
        </w:rPr>
        <w:t xml:space="preserve">C. baileyi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baileyi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L208: As noted in the preceding comment, the results in Fig. 1B do not suggest that C. baileyi was able to fully compensate for KR. Thus, it seems overstated to refer to C. baileyi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03379B87" w:rsidR="00330108" w:rsidRDefault="007A6A5F" w:rsidP="00330108">
      <w:pPr>
        <w:rPr>
          <w:b/>
          <w:bCs/>
          <w:color w:val="2F5496" w:themeColor="accent1" w:themeShade="BF"/>
        </w:rPr>
      </w:pPr>
      <w:r>
        <w:rPr>
          <w:b/>
          <w:bCs/>
          <w:color w:val="2F5496" w:themeColor="accent1" w:themeShade="BF"/>
        </w:rPr>
        <w:lastRenderedPageBreak/>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w:t>
      </w:r>
      <w:r w:rsidR="0091167B">
        <w:rPr>
          <w:b/>
          <w:bCs/>
          <w:color w:val="2F5496" w:themeColor="accent1" w:themeShade="BF"/>
        </w:rPr>
        <w:t xml:space="preserve"> 287</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3F1BD627"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Pr="0025008D">
        <w:rPr>
          <w:b/>
          <w:bCs/>
          <w:color w:val="2F5496" w:themeColor="accent1" w:themeShade="BF"/>
          <w:highlight w:val="yellow"/>
        </w:rPr>
        <w:t>line</w:t>
      </w:r>
      <w:r>
        <w:rPr>
          <w:b/>
          <w:bCs/>
          <w:color w:val="2F5496" w:themeColor="accent1" w:themeShade="BF"/>
        </w:rPr>
        <w:t xml:space="preserve"> 353).</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09042D19"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sidR="003D39D2">
        <w:rPr>
          <w:b/>
          <w:bCs/>
          <w:color w:val="2F5496" w:themeColor="accent1" w:themeShade="BF"/>
        </w:rPr>
        <w:t xml:space="preserve"> 30-32</w:t>
      </w:r>
      <w:r>
        <w:rPr>
          <w:b/>
          <w:bCs/>
          <w:color w:val="2F5496" w:themeColor="accent1" w:themeShade="BF"/>
        </w:rPr>
        <w:t>).</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21500" w14:textId="77777777" w:rsidR="00FF3E4B" w:rsidRDefault="00FF3E4B">
      <w:pPr>
        <w:spacing w:after="0" w:line="240" w:lineRule="auto"/>
      </w:pPr>
      <w:r>
        <w:separator/>
      </w:r>
    </w:p>
  </w:endnote>
  <w:endnote w:type="continuationSeparator" w:id="0">
    <w:p w14:paraId="7332D2D0" w14:textId="77777777" w:rsidR="00FF3E4B" w:rsidRDefault="00FF3E4B">
      <w:pPr>
        <w:spacing w:after="0" w:line="240" w:lineRule="auto"/>
      </w:pPr>
      <w:r>
        <w:continuationSeparator/>
      </w:r>
    </w:p>
  </w:endnote>
  <w:endnote w:type="continuationNotice" w:id="1">
    <w:p w14:paraId="2A69C157" w14:textId="77777777" w:rsidR="00FF3E4B" w:rsidRDefault="00FF3E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CC0F" w14:textId="77777777" w:rsidR="00FF3E4B" w:rsidRDefault="00FF3E4B">
      <w:pPr>
        <w:spacing w:after="0" w:line="240" w:lineRule="auto"/>
      </w:pPr>
      <w:r>
        <w:separator/>
      </w:r>
    </w:p>
  </w:footnote>
  <w:footnote w:type="continuationSeparator" w:id="0">
    <w:p w14:paraId="6301285A" w14:textId="77777777" w:rsidR="00FF3E4B" w:rsidRDefault="00FF3E4B">
      <w:pPr>
        <w:spacing w:after="0" w:line="240" w:lineRule="auto"/>
      </w:pPr>
      <w:r>
        <w:continuationSeparator/>
      </w:r>
    </w:p>
  </w:footnote>
  <w:footnote w:type="continuationNotice" w:id="1">
    <w:p w14:paraId="4B6299E1" w14:textId="77777777" w:rsidR="00FF3E4B" w:rsidRDefault="00FF3E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0552E"/>
    <w:rsid w:val="000155C8"/>
    <w:rsid w:val="00032E03"/>
    <w:rsid w:val="000413EC"/>
    <w:rsid w:val="00043C47"/>
    <w:rsid w:val="000452FB"/>
    <w:rsid w:val="000523B7"/>
    <w:rsid w:val="00053950"/>
    <w:rsid w:val="00055841"/>
    <w:rsid w:val="000674F9"/>
    <w:rsid w:val="000A4D2C"/>
    <w:rsid w:val="000A4DF8"/>
    <w:rsid w:val="000B56B8"/>
    <w:rsid w:val="000B7C65"/>
    <w:rsid w:val="000D22F5"/>
    <w:rsid w:val="000D5571"/>
    <w:rsid w:val="000D7213"/>
    <w:rsid w:val="000E67FD"/>
    <w:rsid w:val="000E6A0A"/>
    <w:rsid w:val="000F7EB9"/>
    <w:rsid w:val="00150868"/>
    <w:rsid w:val="00152D5E"/>
    <w:rsid w:val="001548F3"/>
    <w:rsid w:val="00154E7D"/>
    <w:rsid w:val="001965D1"/>
    <w:rsid w:val="001A6DB6"/>
    <w:rsid w:val="001A7EB4"/>
    <w:rsid w:val="001C1866"/>
    <w:rsid w:val="001D3E03"/>
    <w:rsid w:val="001E3731"/>
    <w:rsid w:val="001F4D95"/>
    <w:rsid w:val="0020180F"/>
    <w:rsid w:val="0025008D"/>
    <w:rsid w:val="0025235C"/>
    <w:rsid w:val="00254674"/>
    <w:rsid w:val="002637D2"/>
    <w:rsid w:val="00275920"/>
    <w:rsid w:val="00294624"/>
    <w:rsid w:val="002A64EC"/>
    <w:rsid w:val="002C4CFB"/>
    <w:rsid w:val="002E0F18"/>
    <w:rsid w:val="002F3E33"/>
    <w:rsid w:val="00311DC6"/>
    <w:rsid w:val="003125A8"/>
    <w:rsid w:val="0031359B"/>
    <w:rsid w:val="00330108"/>
    <w:rsid w:val="003343C3"/>
    <w:rsid w:val="00356933"/>
    <w:rsid w:val="00376785"/>
    <w:rsid w:val="003852A0"/>
    <w:rsid w:val="003B7851"/>
    <w:rsid w:val="003C270F"/>
    <w:rsid w:val="003D39D2"/>
    <w:rsid w:val="00404514"/>
    <w:rsid w:val="0043042F"/>
    <w:rsid w:val="004815B2"/>
    <w:rsid w:val="00494052"/>
    <w:rsid w:val="0049451F"/>
    <w:rsid w:val="004C26A4"/>
    <w:rsid w:val="004C5608"/>
    <w:rsid w:val="004E7749"/>
    <w:rsid w:val="00522330"/>
    <w:rsid w:val="005275B2"/>
    <w:rsid w:val="00544AA1"/>
    <w:rsid w:val="005554BE"/>
    <w:rsid w:val="0055588F"/>
    <w:rsid w:val="00566B0D"/>
    <w:rsid w:val="005926B2"/>
    <w:rsid w:val="00595A91"/>
    <w:rsid w:val="005B3395"/>
    <w:rsid w:val="005B3398"/>
    <w:rsid w:val="005C493E"/>
    <w:rsid w:val="006014FE"/>
    <w:rsid w:val="00627EEE"/>
    <w:rsid w:val="0063466D"/>
    <w:rsid w:val="00645C06"/>
    <w:rsid w:val="00652114"/>
    <w:rsid w:val="00655735"/>
    <w:rsid w:val="00657905"/>
    <w:rsid w:val="00680F9D"/>
    <w:rsid w:val="00692DA0"/>
    <w:rsid w:val="006D1A41"/>
    <w:rsid w:val="006D521C"/>
    <w:rsid w:val="006D7E17"/>
    <w:rsid w:val="007011E7"/>
    <w:rsid w:val="00714682"/>
    <w:rsid w:val="00721ABE"/>
    <w:rsid w:val="00743EC7"/>
    <w:rsid w:val="00755047"/>
    <w:rsid w:val="007574E9"/>
    <w:rsid w:val="007679B3"/>
    <w:rsid w:val="007A452F"/>
    <w:rsid w:val="007A6A5F"/>
    <w:rsid w:val="007E28B9"/>
    <w:rsid w:val="00802CF3"/>
    <w:rsid w:val="00813ABB"/>
    <w:rsid w:val="008337A2"/>
    <w:rsid w:val="008401E1"/>
    <w:rsid w:val="00865F2B"/>
    <w:rsid w:val="008674AA"/>
    <w:rsid w:val="008B44B2"/>
    <w:rsid w:val="008B691C"/>
    <w:rsid w:val="008C4D3B"/>
    <w:rsid w:val="008F7A96"/>
    <w:rsid w:val="009009A6"/>
    <w:rsid w:val="00905AAF"/>
    <w:rsid w:val="0091167B"/>
    <w:rsid w:val="00941C8C"/>
    <w:rsid w:val="00953D51"/>
    <w:rsid w:val="00956265"/>
    <w:rsid w:val="009602FD"/>
    <w:rsid w:val="0098061B"/>
    <w:rsid w:val="009818B4"/>
    <w:rsid w:val="009837EF"/>
    <w:rsid w:val="009C3477"/>
    <w:rsid w:val="009E57A9"/>
    <w:rsid w:val="009E727A"/>
    <w:rsid w:val="009F28AD"/>
    <w:rsid w:val="009F32DC"/>
    <w:rsid w:val="009F439D"/>
    <w:rsid w:val="009F6190"/>
    <w:rsid w:val="00A04249"/>
    <w:rsid w:val="00A108EF"/>
    <w:rsid w:val="00A13C8E"/>
    <w:rsid w:val="00A5136D"/>
    <w:rsid w:val="00A63618"/>
    <w:rsid w:val="00A6615A"/>
    <w:rsid w:val="00A703C4"/>
    <w:rsid w:val="00AA1472"/>
    <w:rsid w:val="00AA2308"/>
    <w:rsid w:val="00AD69F2"/>
    <w:rsid w:val="00AF4BAB"/>
    <w:rsid w:val="00B14C61"/>
    <w:rsid w:val="00B30B8F"/>
    <w:rsid w:val="00B528D3"/>
    <w:rsid w:val="00B64971"/>
    <w:rsid w:val="00B87589"/>
    <w:rsid w:val="00B93541"/>
    <w:rsid w:val="00BA1B0C"/>
    <w:rsid w:val="00BA783B"/>
    <w:rsid w:val="00BE5227"/>
    <w:rsid w:val="00BE66A5"/>
    <w:rsid w:val="00BF2A52"/>
    <w:rsid w:val="00BF4ECF"/>
    <w:rsid w:val="00BF60BF"/>
    <w:rsid w:val="00C06227"/>
    <w:rsid w:val="00C27362"/>
    <w:rsid w:val="00C41DC0"/>
    <w:rsid w:val="00C44A70"/>
    <w:rsid w:val="00C45543"/>
    <w:rsid w:val="00C506F6"/>
    <w:rsid w:val="00C54F4A"/>
    <w:rsid w:val="00C563BD"/>
    <w:rsid w:val="00C62251"/>
    <w:rsid w:val="00C76723"/>
    <w:rsid w:val="00C97036"/>
    <w:rsid w:val="00D02198"/>
    <w:rsid w:val="00D14E31"/>
    <w:rsid w:val="00D246EA"/>
    <w:rsid w:val="00D32F31"/>
    <w:rsid w:val="00D554D0"/>
    <w:rsid w:val="00D779C4"/>
    <w:rsid w:val="00D81622"/>
    <w:rsid w:val="00DA1D3E"/>
    <w:rsid w:val="00E0031E"/>
    <w:rsid w:val="00E353AF"/>
    <w:rsid w:val="00E44980"/>
    <w:rsid w:val="00E5019C"/>
    <w:rsid w:val="00E5664B"/>
    <w:rsid w:val="00E62E9F"/>
    <w:rsid w:val="00E96B8A"/>
    <w:rsid w:val="00EA5683"/>
    <w:rsid w:val="00EB0CEE"/>
    <w:rsid w:val="00F0367E"/>
    <w:rsid w:val="00F072B5"/>
    <w:rsid w:val="00F1659A"/>
    <w:rsid w:val="00F55D06"/>
    <w:rsid w:val="00F60D58"/>
    <w:rsid w:val="00F65353"/>
    <w:rsid w:val="00F65D54"/>
    <w:rsid w:val="00F66668"/>
    <w:rsid w:val="00F66E90"/>
    <w:rsid w:val="00F76D4B"/>
    <w:rsid w:val="00F772CD"/>
    <w:rsid w:val="00F9484E"/>
    <w:rsid w:val="00FA211B"/>
    <w:rsid w:val="00FA2BAF"/>
    <w:rsid w:val="00FC2783"/>
    <w:rsid w:val="00FE6789"/>
    <w:rsid w:val="00FF3E4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B6D8A-B8FB-4532-85D8-854C7D86D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139</cp:revision>
  <dcterms:created xsi:type="dcterms:W3CDTF">2022-01-02T16:18:00Z</dcterms:created>
  <dcterms:modified xsi:type="dcterms:W3CDTF">2022-01-06T15:52:00Z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