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This submission is posted as a preprint on bioRxiv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Zenodo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species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5B082BC" w:rsidR="0014228D" w:rsidRDefault="004D2FE6">
      <w:pPr>
        <w:ind w:firstLine="720"/>
      </w:pPr>
      <w:r>
        <w:t>Determining the extent to which community-level properties are affected by species loss, and how and why this changes over time, is key for understanding how communities are structured and how community function may respond to future perturbations (Gonzalez and Loreau 2009). When species are 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(Bannar-Martin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Loreau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Valen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Leibold et al. 2017). The ability of colonization to supply functionally redundant species depends on the species (and traits) present in the broader metacommunity, and on the rate of dispersal supplying appropriate species to local communities (Leibold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functionally-similar,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(Loreau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Houlahan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period of time,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r>
        <w:rPr>
          <w:i/>
        </w:rPr>
        <w:t xml:space="preserve">Dipodomys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r>
        <w:rPr>
          <w:i/>
        </w:rPr>
        <w:t>Etot</w:t>
      </w:r>
      <w:r>
        <w:t xml:space="preserve">; Ernest et al. 2019). For systems of consumers with a shared resource base, such as the granivorous rodents that make up this community, </w:t>
      </w:r>
      <w:r>
        <w:rPr>
          <w:i/>
        </w:rPr>
        <w:t xml:space="preserve">Etot </w:t>
      </w:r>
      <w:r>
        <w:t xml:space="preserve">reflects the total amount of resources being processed by an assemblage, and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r>
        <w:rPr>
          <w:i/>
        </w:rPr>
        <w:t>Chaetodipus baileyi</w:t>
      </w:r>
      <w:r>
        <w:t xml:space="preserve">. </w:t>
      </w:r>
      <w:r>
        <w:rPr>
          <w:i/>
        </w:rPr>
        <w:t>C. baileyi</w:t>
      </w:r>
      <w:r>
        <w:t xml:space="preserve"> is similar in size, and presumably other traits, to kangaroo rats, and its establishment in 1996 drove a pronounced increase in compensation due to functional redundancy between </w:t>
      </w:r>
      <w:r>
        <w:rPr>
          <w:i/>
        </w:rPr>
        <w:t xml:space="preserve">C. baileyi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r>
        <w:rPr>
          <w:i/>
        </w:rPr>
        <w:t xml:space="preserve">Etot </w:t>
      </w:r>
      <w:r>
        <w:t>over time</w:t>
      </w:r>
      <w:r>
        <w:rPr>
          <w:i/>
        </w:rPr>
        <w:t xml:space="preserve">. </w:t>
      </w:r>
    </w:p>
    <w:p w14:paraId="00000012" w14:textId="77777777" w:rsidR="0014228D" w:rsidRDefault="004D2FE6">
      <w:pPr>
        <w:pStyle w:val="Heading1"/>
      </w:pPr>
      <w:r>
        <w:t>Methods</w:t>
      </w:r>
    </w:p>
    <w:p w14:paraId="00000013" w14:textId="11820E2E" w:rsidR="0014228D" w:rsidRDefault="004D2FE6">
      <w:pPr>
        <w:pStyle w:val="Heading2"/>
        <w:rPr>
          <w:i w:val="0"/>
        </w:rPr>
      </w:pPr>
      <w:r>
        <w:rPr>
          <w:i w:val="0"/>
        </w:rPr>
        <w:t xml:space="preserve">All analyses were conducted in R version 4.0.3 (R Core Team 2020). </w:t>
      </w:r>
      <w:r w:rsidR="0062083A">
        <w:rPr>
          <w:i w:val="0"/>
        </w:rPr>
        <w:t>Data</w:t>
      </w:r>
      <w:r>
        <w:rPr>
          <w:i w:val="0"/>
        </w:rPr>
        <w:t xml:space="preserve"> and </w:t>
      </w:r>
      <w:r w:rsidR="0062083A">
        <w:rPr>
          <w:i w:val="0"/>
        </w:rPr>
        <w:t xml:space="preserve">code </w:t>
      </w:r>
      <w:r>
        <w:rPr>
          <w:i w:val="0"/>
        </w:rPr>
        <w:t>are availabl</w:t>
      </w:r>
      <w:r w:rsidRPr="003B678B">
        <w:rPr>
          <w:i w:val="0"/>
        </w:rPr>
        <w:t xml:space="preserve">e </w:t>
      </w:r>
      <w:r w:rsidR="003B678B" w:rsidRPr="003B678B">
        <w:rPr>
          <w:i w:val="0"/>
        </w:rPr>
        <w:t xml:space="preserve">at </w:t>
      </w:r>
      <w:hyperlink r:id="rId12" w:history="1">
        <w:r w:rsidR="003B678B" w:rsidRPr="003B678B">
          <w:rPr>
            <w:rStyle w:val="Hyperlink"/>
            <w:i w:val="0"/>
          </w:rPr>
          <w:t>https://doi.org/10.5281/zenodo.5544362</w:t>
        </w:r>
      </w:hyperlink>
      <w:r w:rsidR="003B678B" w:rsidRPr="003B678B">
        <w:rPr>
          <w:i w:val="0"/>
        </w:rPr>
        <w:t xml:space="preserve"> and </w:t>
      </w:r>
      <w:hyperlink r:id="rId13" w:history="1">
        <w:r w:rsidR="003B678B" w:rsidRPr="003B678B">
          <w:rPr>
            <w:rStyle w:val="Hyperlink"/>
            <w:i w:val="0"/>
          </w:rPr>
          <w:t>https://doi.org/10.5281/zenodo.5539881</w:t>
        </w:r>
      </w:hyperlink>
      <w:r w:rsidR="003B678B">
        <w:rPr>
          <w:i w:val="0"/>
        </w:rPr>
        <w:t>.</w:t>
      </w:r>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r>
        <w:rPr>
          <w:i/>
        </w:rPr>
        <w:t xml:space="preserve">Dipodomys spectabilis, D. merriami, </w:t>
      </w:r>
      <w:r>
        <w:t xml:space="preserve">and </w:t>
      </w:r>
      <w:r>
        <w:rPr>
          <w:i/>
        </w:rPr>
        <w:t>D. ordii</w:t>
      </w:r>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1050981E" w:rsidR="0014228D" w:rsidRDefault="004D2FE6">
      <w:pPr>
        <w:ind w:firstLine="720"/>
      </w:pPr>
      <w:r>
        <w:t>We use data for 4 control and 5 exclosure plots from February 1988 until January 2020. The experimental treatments for some plots have changed over time, and we used the subset of plots that have had the same treatments for the longest period of time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 to January 2010, which spans from the first census period in which </w:t>
      </w:r>
      <w:r>
        <w:rPr>
          <w:i/>
        </w:rPr>
        <w:t xml:space="preserve">C. baileyi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r>
        <w:rPr>
          <w:i/>
        </w:rPr>
        <w:t xml:space="preserve">portalr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r>
        <w:rPr>
          <w:i/>
          <w:color w:val="000000"/>
        </w:rPr>
        <w:t>Etot</w:t>
      </w:r>
      <w:r>
        <w:rPr>
          <w:color w:val="000000"/>
        </w:rPr>
        <w:t xml:space="preserve">, we calculated a “total energy ratio” as the ratio of treatment-level </w:t>
      </w:r>
      <w:r>
        <w:rPr>
          <w:i/>
          <w:color w:val="000000"/>
        </w:rPr>
        <w:t xml:space="preserve">Etot </w:t>
      </w:r>
      <w:r>
        <w:rPr>
          <w:color w:val="000000"/>
        </w:rPr>
        <w:t xml:space="preserve">for kangaroo-rat exclosure plots relative to unmanipulated control plots, i.e. </w:t>
      </w:r>
      <w:r>
        <w:rPr>
          <w:i/>
          <w:color w:val="000000"/>
        </w:rPr>
        <w:t>Etot</w:t>
      </w:r>
      <w:r>
        <w:rPr>
          <w:i/>
          <w:color w:val="000000"/>
          <w:vertAlign w:val="subscript"/>
        </w:rPr>
        <w:t>E</w:t>
      </w:r>
      <w:r>
        <w:rPr>
          <w:i/>
          <w:color w:val="000000"/>
        </w:rPr>
        <w:t>/Etot</w:t>
      </w:r>
      <w:r>
        <w:rPr>
          <w:i/>
          <w:color w:val="000000"/>
          <w:vertAlign w:val="subscript"/>
        </w:rPr>
        <w:t>C</w:t>
      </w:r>
      <w:r>
        <w:rPr>
          <w:i/>
          <w:color w:val="000000"/>
        </w:rPr>
        <w:t xml:space="preserve"> </w:t>
      </w:r>
      <w:r>
        <w:rPr>
          <w:color w:val="000000"/>
        </w:rPr>
        <w:t xml:space="preserve">where </w:t>
      </w:r>
      <w:r>
        <w:rPr>
          <w:i/>
          <w:color w:val="000000"/>
        </w:rPr>
        <w:t>Etot</w:t>
      </w:r>
      <w:r>
        <w:rPr>
          <w:i/>
          <w:color w:val="000000"/>
          <w:vertAlign w:val="subscript"/>
        </w:rPr>
        <w:t>E</w:t>
      </w:r>
      <w:r>
        <w:rPr>
          <w:i/>
          <w:color w:val="000000"/>
        </w:rPr>
        <w:t xml:space="preserve"> </w:t>
      </w:r>
      <w:r>
        <w:rPr>
          <w:color w:val="000000"/>
        </w:rPr>
        <w:t xml:space="preserve">and </w:t>
      </w:r>
      <w:r>
        <w:rPr>
          <w:i/>
          <w:color w:val="000000"/>
        </w:rPr>
        <w:t>Etot</w:t>
      </w:r>
      <w:r>
        <w:rPr>
          <w:i/>
          <w:color w:val="000000"/>
          <w:vertAlign w:val="subscript"/>
        </w:rPr>
        <w:t>C</w:t>
      </w:r>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r>
        <w:rPr>
          <w:i/>
          <w:color w:val="000000"/>
        </w:rPr>
        <w:t xml:space="preserve">Baiomys taylori, C. baileyi, Chaetodipus hispidus, Chaetodipus intermedius, Chaetodipus penicillatus, Perognathus flavus, Peromyscus eremicus, Peromyscus leucopus, Peromyscus maniculatus, Reithrodontomys fulvescens, Reithrodontomys megalotis, </w:t>
      </w:r>
      <w:r>
        <w:rPr>
          <w:color w:val="000000"/>
        </w:rPr>
        <w:t xml:space="preserve">and </w:t>
      </w:r>
      <w:r>
        <w:rPr>
          <w:i/>
          <w:color w:val="000000"/>
        </w:rPr>
        <w:t>Reithrodontomys montanus</w:t>
      </w:r>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r>
        <w:rPr>
          <w:i/>
          <w:color w:val="000000"/>
        </w:rPr>
        <w:t>nlme</w:t>
      </w:r>
      <w:r>
        <w:rPr>
          <w:color w:val="000000"/>
        </w:rPr>
        <w:t xml:space="preserve">; Pinheiro et al. 2020), accounting for temporal autocorrelation, using the form </w:t>
      </w:r>
      <w:r>
        <w:rPr>
          <w:i/>
          <w:color w:val="000000"/>
        </w:rPr>
        <w:t>response ~ time period</w:t>
      </w:r>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r>
        <w:rPr>
          <w:i/>
          <w:color w:val="000000"/>
        </w:rPr>
        <w:t xml:space="preserve">emmeans </w:t>
      </w:r>
      <w:r>
        <w:rPr>
          <w:color w:val="000000"/>
        </w:rPr>
        <w:t>(Lenth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/Etot</w:t>
      </w:r>
      <w:r>
        <w:rPr>
          <w:i/>
          <w:color w:val="000000"/>
          <w:vertAlign w:val="subscript"/>
        </w:rPr>
        <w:t>C</w:t>
      </w:r>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response ~ time period</w:t>
      </w:r>
      <w:r>
        <w:rPr>
          <w:color w:val="000000"/>
        </w:rPr>
        <w:t xml:space="preserve">. Finally, we calculated the proportional energy use accounted for by </w:t>
      </w:r>
      <w:r>
        <w:rPr>
          <w:i/>
          <w:color w:val="000000"/>
        </w:rPr>
        <w:t>C. baileyi,</w:t>
      </w:r>
      <w:r>
        <w:rPr>
          <w:color w:val="000000"/>
        </w:rPr>
        <w:t xml:space="preserve"> specifically, on exclosure and control plots in each census period (</w:t>
      </w:r>
      <w:r>
        <w:rPr>
          <w:i/>
          <w:color w:val="000000"/>
        </w:rPr>
        <w:t>CB</w:t>
      </w:r>
      <w:r>
        <w:rPr>
          <w:i/>
          <w:color w:val="000000"/>
          <w:vertAlign w:val="subscript"/>
        </w:rPr>
        <w:t>E</w:t>
      </w:r>
      <w:r>
        <w:rPr>
          <w:i/>
          <w:color w:val="000000"/>
        </w:rPr>
        <w:t>/Etot</w:t>
      </w:r>
      <w:r>
        <w:rPr>
          <w:i/>
          <w:color w:val="000000"/>
          <w:vertAlign w:val="subscript"/>
        </w:rPr>
        <w:t>E</w:t>
      </w:r>
      <w:r>
        <w:rPr>
          <w:color w:val="000000"/>
        </w:rPr>
        <w:t xml:space="preserve"> and </w:t>
      </w:r>
      <w:r>
        <w:rPr>
          <w:i/>
          <w:color w:val="000000"/>
        </w:rPr>
        <w:t>CB</w:t>
      </w:r>
      <w:r>
        <w:rPr>
          <w:i/>
          <w:color w:val="000000"/>
          <w:vertAlign w:val="subscript"/>
        </w:rPr>
        <w:t>C</w:t>
      </w:r>
      <w:r>
        <w:rPr>
          <w:i/>
          <w:color w:val="000000"/>
        </w:rPr>
        <w:t>/Etot</w:t>
      </w:r>
      <w:r>
        <w:rPr>
          <w:i/>
          <w:color w:val="000000"/>
          <w:vertAlign w:val="subscript"/>
        </w:rPr>
        <w:t>C</w:t>
      </w:r>
      <w:r>
        <w:rPr>
          <w:color w:val="000000"/>
        </w:rPr>
        <w:t xml:space="preserve">, respectively). </w:t>
      </w:r>
      <w:r>
        <w:rPr>
          <w:i/>
          <w:color w:val="000000"/>
        </w:rPr>
        <w:t>C. baileyi</w:t>
      </w:r>
      <w:r>
        <w:rPr>
          <w:color w:val="000000"/>
        </w:rPr>
        <w:t xml:space="preserve"> was not present at the site prior to 1996, and we restricted the analysis of </w:t>
      </w:r>
      <w:r>
        <w:rPr>
          <w:i/>
          <w:color w:val="000000"/>
        </w:rPr>
        <w:t xml:space="preserve">C. baileyi </w:t>
      </w:r>
      <w:r>
        <w:rPr>
          <w:color w:val="000000"/>
        </w:rPr>
        <w:t xml:space="preserve">proportional energy use to July 1997-2020. We compared </w:t>
      </w:r>
      <w:r>
        <w:rPr>
          <w:i/>
          <w:color w:val="000000"/>
        </w:rPr>
        <w:t xml:space="preserve">C. baileyi </w:t>
      </w:r>
      <w:r>
        <w:rPr>
          <w:color w:val="000000"/>
        </w:rPr>
        <w:t xml:space="preserve">proportional energy use over time and across treatments using a quasibinomial generalized linear model of the form </w:t>
      </w:r>
      <w:r>
        <w:rPr>
          <w:i/>
          <w:color w:val="000000"/>
        </w:rPr>
        <w:t>response ~ time period * treatment.</w:t>
      </w: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Pr>
          <w:i/>
          <w:color w:val="000000"/>
        </w:rPr>
        <w:t>Etot</w:t>
      </w:r>
      <w:r>
        <w:rPr>
          <w:color w:val="000000"/>
        </w:rPr>
        <w:t xml:space="preserve"> has changed repeatedly over time, through a combination of abrupt shifts in compensation </w:t>
      </w:r>
      <w:r>
        <w:t>associated with</w:t>
      </w:r>
      <w:r>
        <w:rPr>
          <w:color w:val="000000"/>
        </w:rPr>
        <w:t xml:space="preserve"> </w:t>
      </w:r>
      <w:r>
        <w:rPr>
          <w:i/>
          <w:color w:val="000000"/>
        </w:rPr>
        <w:t>C. baileyi</w:t>
      </w:r>
      <w:r>
        <w:rPr>
          <w:color w:val="000000"/>
        </w:rPr>
        <w:t xml:space="preserve">, and long-term changes in baseline community composition sitewide (Figure 1). The first shift occurred around 1996, when </w:t>
      </w:r>
      <w:r>
        <w:rPr>
          <w:i/>
          <w:color w:val="000000"/>
        </w:rPr>
        <w:t xml:space="preserve">C. baileyi </w:t>
      </w:r>
      <w:r>
        <w:rPr>
          <w:color w:val="000000"/>
        </w:rPr>
        <w:t xml:space="preserve">- which had not previously been observed at the site - established in the community (Figure 1D; see also Ernest and Brown 2001). </w:t>
      </w:r>
      <w:r>
        <w:rPr>
          <w:i/>
          <w:color w:val="000000"/>
        </w:rPr>
        <w:t xml:space="preserve">C. baileyi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C. baileyi</w:t>
      </w:r>
      <w:r>
        <w:rPr>
          <w:color w:val="000000"/>
        </w:rPr>
        <w:t xml:space="preserve">’s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C. baileyi</w:t>
      </w:r>
      <w:r>
        <w:rPr>
          <w:color w:val="000000"/>
        </w:rPr>
        <w:t xml:space="preserve">’s abundance sitewide dropped precipitously (Figure 1D). </w:t>
      </w:r>
      <w:r>
        <w:rPr>
          <w:i/>
          <w:color w:val="000000"/>
        </w:rPr>
        <w:t>C. baileyi</w:t>
      </w:r>
      <w:r>
        <w:rPr>
          <w:color w:val="000000"/>
        </w:rPr>
        <w:t xml:space="preserve">’s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baileyi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C. baileyi</w:t>
      </w:r>
      <w:r>
        <w:rPr>
          <w:color w:val="000000"/>
        </w:rPr>
        <w:t xml:space="preserve">’s establishment at the site. Somewhat paradoxically, while the total energy ratio also dropped following </w:t>
      </w:r>
      <w:r>
        <w:rPr>
          <w:i/>
          <w:color w:val="000000"/>
        </w:rPr>
        <w:t>C. baileyi</w:t>
      </w:r>
      <w:r>
        <w:rPr>
          <w:color w:val="000000"/>
        </w:rPr>
        <w:t xml:space="preserve">’s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r w:rsidRPr="002C69CC">
        <w:rPr>
          <w:i/>
          <w:color w:val="000000"/>
        </w:rPr>
        <w:t xml:space="preserve">Etot </w:t>
      </w:r>
      <w:r>
        <w:rPr>
          <w:color w:val="000000"/>
        </w:rPr>
        <w:t xml:space="preserve">than they did at the beginning of the study (Figure 1C). From 1988-1996, kangaroo rats accounted for 92% (90-94%) of </w:t>
      </w:r>
      <w:r>
        <w:rPr>
          <w:i/>
          <w:color w:val="000000"/>
        </w:rPr>
        <w:t xml:space="preserve">Etot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r>
        <w:rPr>
          <w:i/>
          <w:color w:val="000000"/>
        </w:rPr>
        <w:t xml:space="preserve">Etot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species composition and in the degree of functional overlap among the same species. </w:t>
      </w:r>
      <w:r>
        <w:rPr>
          <w:color w:val="000000"/>
        </w:rPr>
        <w:t xml:space="preserve">The 1996 increase in compensation, driven by </w:t>
      </w:r>
      <w:r>
        <w:rPr>
          <w:i/>
          <w:color w:val="000000"/>
        </w:rPr>
        <w:t>C. baileyi</w:t>
      </w:r>
      <w:r>
        <w:rPr>
          <w:color w:val="000000"/>
        </w:rPr>
        <w:t xml:space="preserve">’s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tional redundancy (Ernest and Brown 2001; Leibold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C. baileyi</w:t>
      </w:r>
      <w:r>
        <w:rPr>
          <w:color w:val="000000"/>
        </w:rPr>
        <w:t xml:space="preserve"> supplied those traits and substantially restored community function on exclosure plots. In contrast, following the community reorganization event in 2010, </w:t>
      </w:r>
      <w:r>
        <w:rPr>
          <w:i/>
          <w:color w:val="000000"/>
        </w:rPr>
        <w:t xml:space="preserve">C. baileyi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baileyi </w:t>
      </w:r>
      <w:r>
        <w:rPr>
          <w:color w:val="000000"/>
        </w:rPr>
        <w:t xml:space="preserve">are relatively similar in size and are demonstrably capable of using similar resources. However, </w:t>
      </w:r>
      <w:r>
        <w:rPr>
          <w:i/>
          <w:color w:val="000000"/>
        </w:rPr>
        <w:t xml:space="preserve">C. baileyi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Winakur 1969; M’Closkey 1982; Price 1978). We suggest that this study site, which has historically been dominated by kangaroo rats, constitutes marginal habitat for </w:t>
      </w:r>
      <w:r>
        <w:rPr>
          <w:i/>
          <w:color w:val="000000"/>
        </w:rPr>
        <w:t>C. baileyi</w:t>
      </w:r>
      <w:r>
        <w:rPr>
          <w:color w:val="000000"/>
        </w:rPr>
        <w:t xml:space="preserve">, and that, while conditions from 1996-2010 aligned sufficiently with </w:t>
      </w:r>
      <w:r>
        <w:rPr>
          <w:i/>
          <w:color w:val="000000"/>
        </w:rPr>
        <w:t>C. baileyi</w:t>
      </w:r>
      <w:r>
        <w:rPr>
          <w:color w:val="000000"/>
        </w:rPr>
        <w:t xml:space="preserve">’s requirements to create </w:t>
      </w:r>
      <w:r>
        <w:t>appreciable</w:t>
      </w:r>
      <w:r>
        <w:rPr>
          <w:color w:val="000000"/>
        </w:rPr>
        <w:t xml:space="preserve"> functional </w:t>
      </w:r>
      <w:r>
        <w:t>redundancy</w:t>
      </w:r>
      <w:r>
        <w:rPr>
          <w:color w:val="000000"/>
        </w:rPr>
        <w:t xml:space="preserve"> between kangaroo rats and </w:t>
      </w:r>
      <w:r>
        <w:rPr>
          <w:i/>
          <w:color w:val="000000"/>
        </w:rPr>
        <w:t>C. baileyi</w:t>
      </w:r>
      <w:r>
        <w:rPr>
          <w:color w:val="000000"/>
        </w:rPr>
        <w:t xml:space="preserve">, conditions since 2010 have caused this redundancy to break down. </w:t>
      </w:r>
      <w:r>
        <w:rPr>
          <w:i/>
          <w:color w:val="000000"/>
        </w:rPr>
        <w:t>C. baileyi</w:t>
      </w:r>
      <w:r>
        <w:rPr>
          <w:color w:val="000000"/>
        </w:rPr>
        <w:t xml:space="preserve">’s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baileyi’s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C. baileyi</w:t>
      </w:r>
      <w:r>
        <w:rPr>
          <w:color w:val="000000"/>
        </w:rPr>
        <w:t xml:space="preserve">’s decline, the fact that </w:t>
      </w:r>
      <w:r>
        <w:rPr>
          <w:i/>
          <w:color w:val="000000"/>
        </w:rPr>
        <w:t xml:space="preserve">C. balieyi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r>
        <w:rPr>
          <w:i/>
          <w:color w:val="000000"/>
        </w:rPr>
        <w:t>Etot</w:t>
      </w:r>
      <w:r>
        <w:rPr>
          <w:iCs/>
          <w:color w:val="000000"/>
        </w:rPr>
        <w:t xml:space="preserve">. Specifically, although </w:t>
      </w:r>
      <w:r w:rsidR="005B1DA0">
        <w:rPr>
          <w:iCs/>
          <w:color w:val="000000"/>
        </w:rPr>
        <w:t xml:space="preserve">the ratio of </w:t>
      </w:r>
      <w:r w:rsidR="005B1DA0">
        <w:rPr>
          <w:i/>
          <w:color w:val="000000"/>
        </w:rPr>
        <w:t xml:space="preserve">Etot </w:t>
      </w:r>
      <w:r w:rsidR="005B1DA0">
        <w:rPr>
          <w:iCs/>
          <w:color w:val="000000"/>
        </w:rPr>
        <w:t xml:space="preserve">on exclosure plots relative to control plots declined coinciding with the breakdown in compensation associated with </w:t>
      </w:r>
      <w:r w:rsidR="005B1DA0">
        <w:rPr>
          <w:i/>
          <w:iCs/>
          <w:color w:val="000000"/>
        </w:rPr>
        <w:t>C. baileyi</w:t>
      </w:r>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exclosure </w:t>
      </w:r>
      <w:r w:rsidR="005B1DA0">
        <w:rPr>
          <w:i/>
          <w:color w:val="000000"/>
        </w:rPr>
        <w:t xml:space="preserve">Etot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r w:rsidR="009C0045">
        <w:rPr>
          <w:i/>
          <w:color w:val="000000"/>
        </w:rPr>
        <w:t xml:space="preserve">Etot </w:t>
      </w:r>
      <w:r w:rsidR="009C0045">
        <w:rPr>
          <w:iCs/>
          <w:color w:val="000000"/>
        </w:rPr>
        <w:t xml:space="preserve">on exclosure plots relative to control plots was the result of a long-term decrease in the contribution of kangaroo rats to </w:t>
      </w:r>
      <w:r w:rsidR="009C0045">
        <w:rPr>
          <w:i/>
          <w:color w:val="000000"/>
        </w:rPr>
        <w:t xml:space="preserve">Etot </w:t>
      </w:r>
      <w:r w:rsidR="009C0045">
        <w:rPr>
          <w:iCs/>
          <w:color w:val="000000"/>
        </w:rPr>
        <w:t xml:space="preserve">sitewide. Because kangaroo rats accounted for a smaller proportion of </w:t>
      </w:r>
      <w:r w:rsidR="009C0045">
        <w:rPr>
          <w:i/>
          <w:iCs/>
          <w:color w:val="000000"/>
        </w:rPr>
        <w:t xml:space="preserve">Etot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C. baileyi</w:t>
      </w:r>
      <w:r w:rsidR="009C0045">
        <w:rPr>
          <w:color w:val="000000"/>
        </w:rPr>
        <w:t>’s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C. bailyei</w:t>
      </w:r>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r w:rsidR="00FB439A">
        <w:rPr>
          <w:i/>
          <w:color w:val="000000"/>
        </w:rPr>
        <w:t>Etot</w:t>
      </w:r>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(Kelt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r w:rsidR="001C6184" w:rsidRPr="001C6184">
        <w:rPr>
          <w:i/>
          <w:iCs/>
          <w:color w:val="000000"/>
        </w:rPr>
        <w:t>Etot</w:t>
      </w:r>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C. baileyi</w:t>
      </w:r>
      <w:r w:rsidR="003C702C">
        <w:rPr>
          <w:color w:val="000000"/>
        </w:rPr>
        <w:t xml:space="preserve">. Although changes in the overall effect of species loss are sometimes treated interchangeably with compensation (e.g.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Leibold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C. baileyi</w:t>
      </w:r>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 xml:space="preserve">(Dornelas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empirical data, often treat a zero-sum dynamic as a strong and temporally consistent constraint on population dynamics (Hubbell 2001; Houlahan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Valen 1973; Terry and Rowe 2015; </w:t>
      </w:r>
      <w:r>
        <w:t>Leibold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r w:rsidRPr="000D7C38">
        <w:t>Bannar‐Martin, K. H., C. T. Kremer, S. K. M. Ernest, M. A. Leibold, H. Auge, J. Chase, S. A. J. Declerck, N. Eisenhauer, S. Harpole, H. Hillebrand, F. Isbell, T. Koffel, S. Larsen, A. Narwani, J. S. Petermann, C. Roscher,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Bledsoe, E. K., and S. K. M. Ernest. 2019. Temporal changes in species composition affect a ubiquitous species’ use of habitat patches. Ecology 100:e02869.</w:t>
      </w:r>
    </w:p>
    <w:p w14:paraId="314C6BC2" w14:textId="77777777" w:rsidR="00A541BE" w:rsidRPr="00A541BE" w:rsidRDefault="00A541BE" w:rsidP="001B4244">
      <w:pPr>
        <w:ind w:left="630" w:hanging="630"/>
      </w:pPr>
      <w:r w:rsidRPr="00A541BE">
        <w:t>Brown, J. H., T. J. Valone,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Christensen, E. M., G. M. Yenni, H. Ye, J. L. Simonis, E. K. Bledsoe, R. M. Diaz, S. D. Taylor, E. P. White, and S. K. M. Ernest. 2019. portalr: an R package for summarizing and using the Portal Project Data. Journal of Open Source Software 4:1098.</w:t>
      </w:r>
    </w:p>
    <w:p w14:paraId="1AA36C2A" w14:textId="77777777" w:rsidR="00A541BE" w:rsidRPr="00A541BE" w:rsidRDefault="00A541BE" w:rsidP="001B4244">
      <w:pPr>
        <w:ind w:left="630" w:hanging="630"/>
      </w:pPr>
      <w:r w:rsidRPr="00A541BE">
        <w:t>Dornelas, M., N. J. Gotelli, B. McGill, H. Shimadzu, F. Moyes, C. Sievers, and A. E. Magurran.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Ernest, S. K. M., J. H. Brown, K. M. Thibault, E. P. White, and J. R. Goheen. 2008. Zero Sum, the Niche, and Metacommunities: Long‐Term Dynamics of Community Assembly. The American Naturalist 172:E257–E269.</w:t>
      </w:r>
    </w:p>
    <w:p w14:paraId="798787E1" w14:textId="77777777" w:rsidR="00A541BE" w:rsidRPr="00A541BE" w:rsidRDefault="00A541BE" w:rsidP="001B4244">
      <w:pPr>
        <w:ind w:left="630" w:hanging="630"/>
      </w:pPr>
      <w:r w:rsidRPr="00A541BE">
        <w:t>Ernest, S. K. M., G. M. Yenni, G. Allington, E. K. Bledsoe, E. M. Christensen, R. M. Diaz, K. Geluso, J. R. Goheen, Q. Guo, E. Heske, D. Kelt, J. M. Meiners, J. Munger, C. Restrepo, D. A. Samson, M. R. Schutzenhofer, M. Skupski, S. R. Supp, K. Thibault, S. Taylor, E. White, H. Ye, D. W. Davidson, J. H. Brown, and T. J. Valone. 2020. The Portal Project: a long-term study of a Chihuahuan desert ecosystem. bioRxiv:332783.</w:t>
      </w:r>
    </w:p>
    <w:p w14:paraId="5F74BEE5" w14:textId="77777777" w:rsidR="00A541BE" w:rsidRPr="00A541BE" w:rsidRDefault="00A541BE" w:rsidP="001B4244">
      <w:pPr>
        <w:ind w:left="630" w:hanging="630"/>
      </w:pPr>
      <w:r w:rsidRPr="00A541BE">
        <w:t>Fetzer, I., K. Johst, R. Schäwe, T. Banitz, H. Harms, and A. Chatzinotas.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Gonzalez, A., and M. Loreau.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r w:rsidRPr="00A541BE">
        <w:t>Houlahan, J. E., D. J. Currie, K. Cottenie, G. S. Cumming, S. K. M. Ernest, C. S. Findlay, S. D. Fuhlendorf, R. D. Stevens, T. J. Willis, I. P. Woiwod, and S. M. Wondzell.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Barner, K. Brewitt, D. R. Brumbaugh, E. B. Cerny-Chipman, S. L. Close, K. E. Coblentz, K. L. de Nesnera, S. T. Drobnitch, J. D. Figurski, B. Focht, M. Friedman, J. Freiwald, K. K. Heady, W. N. Heady, A. Hettinger, A. Johnson, </w:t>
      </w:r>
      <w:r w:rsidRPr="00A541BE">
        <w:lastRenderedPageBreak/>
        <w:t>K. A. Karr, B. Mahoney, M. M. Moritsch, A.-M. K. Osterback, J. Reimer, J. Robinson, T. Rohrer, J. M. Rose, M. Sabal, L. M. Segui, C. Shen, J. Sullivan, R. Zuercher, P. T. Raimondi, B. A. Menge, K. Grorud-Colvert, M. Novak, and M. H. Carr. 2017. Long-Term Studies Contribute Disproportionately to Ecology and Policy. BioScience 67:271–281.</w:t>
      </w:r>
    </w:p>
    <w:p w14:paraId="6D7A2489" w14:textId="77777777" w:rsidR="00A541BE" w:rsidRPr="00A541BE" w:rsidRDefault="00A541BE" w:rsidP="001B4244">
      <w:pPr>
        <w:ind w:left="630" w:hanging="630"/>
      </w:pPr>
      <w:r w:rsidRPr="00A541BE">
        <w:t>Kelt,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r w:rsidRPr="00A541BE">
        <w:t>Leibold,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r w:rsidRPr="00A541BE">
        <w:t>Lenth, R. V. 2021. emmeans: Estimated Marginal Means, aka Least-Squares Means.</w:t>
      </w:r>
    </w:p>
    <w:p w14:paraId="63FB778E" w14:textId="77777777" w:rsidR="00A541BE" w:rsidRPr="00A541BE" w:rsidRDefault="00A541BE" w:rsidP="001B4244">
      <w:pPr>
        <w:ind w:left="630" w:hanging="630"/>
      </w:pPr>
      <w:r w:rsidRPr="00A541BE">
        <w:t>Loreau, M. 2004. Does functional redundancy exist? Oikos 104:606–611.</w:t>
      </w:r>
    </w:p>
    <w:p w14:paraId="412660FF" w14:textId="77777777" w:rsidR="00A541BE" w:rsidRPr="00A541BE" w:rsidRDefault="00A541BE" w:rsidP="001B4244">
      <w:pPr>
        <w:ind w:left="630" w:hanging="630"/>
      </w:pPr>
      <w:r w:rsidRPr="00A541BE">
        <w:t>M’Closkey,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Pinheiro, J., D. Bates, S. DebRoy, D. Sarkar, and R Core Team. 2020. nlme: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Rosenzweig, M. L., and J. Winakur.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Van Valen,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C. baileyi</w:t>
      </w:r>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35A1" w14:textId="77777777" w:rsidR="00B1710C" w:rsidRDefault="00B1710C">
      <w:pPr>
        <w:spacing w:line="240" w:lineRule="auto"/>
      </w:pPr>
      <w:r>
        <w:separator/>
      </w:r>
    </w:p>
  </w:endnote>
  <w:endnote w:type="continuationSeparator" w:id="0">
    <w:p w14:paraId="574F9196" w14:textId="77777777" w:rsidR="00B1710C" w:rsidRDefault="00B17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A0C29" w14:textId="77777777" w:rsidR="00B1710C" w:rsidRDefault="00B1710C">
      <w:pPr>
        <w:spacing w:line="240" w:lineRule="auto"/>
      </w:pPr>
      <w:r>
        <w:separator/>
      </w:r>
    </w:p>
  </w:footnote>
  <w:footnote w:type="continuationSeparator" w:id="0">
    <w:p w14:paraId="7F322308" w14:textId="77777777" w:rsidR="00B1710C" w:rsidRDefault="00B17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B1710C">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7C38"/>
    <w:rsid w:val="000F0FF1"/>
    <w:rsid w:val="0014228D"/>
    <w:rsid w:val="00197E1C"/>
    <w:rsid w:val="001B4244"/>
    <w:rsid w:val="001C6184"/>
    <w:rsid w:val="001F362C"/>
    <w:rsid w:val="002002AD"/>
    <w:rsid w:val="002C69CC"/>
    <w:rsid w:val="002D0635"/>
    <w:rsid w:val="002E20CB"/>
    <w:rsid w:val="003220B8"/>
    <w:rsid w:val="00340635"/>
    <w:rsid w:val="003B678B"/>
    <w:rsid w:val="003C702C"/>
    <w:rsid w:val="003E74A7"/>
    <w:rsid w:val="0043135B"/>
    <w:rsid w:val="004B4CBE"/>
    <w:rsid w:val="004D2FE6"/>
    <w:rsid w:val="00557274"/>
    <w:rsid w:val="005B1DA0"/>
    <w:rsid w:val="005F107C"/>
    <w:rsid w:val="005F3076"/>
    <w:rsid w:val="0062083A"/>
    <w:rsid w:val="00642227"/>
    <w:rsid w:val="006B5E8C"/>
    <w:rsid w:val="007807F6"/>
    <w:rsid w:val="007C2779"/>
    <w:rsid w:val="007E0CF8"/>
    <w:rsid w:val="009C0045"/>
    <w:rsid w:val="009E2CCA"/>
    <w:rsid w:val="00A12B54"/>
    <w:rsid w:val="00A53884"/>
    <w:rsid w:val="00A541BE"/>
    <w:rsid w:val="00A55D70"/>
    <w:rsid w:val="00A651EB"/>
    <w:rsid w:val="00AB27AA"/>
    <w:rsid w:val="00AE66A3"/>
    <w:rsid w:val="00B03539"/>
    <w:rsid w:val="00B04DF1"/>
    <w:rsid w:val="00B1710C"/>
    <w:rsid w:val="00B9568F"/>
    <w:rsid w:val="00BE4809"/>
    <w:rsid w:val="00BF3677"/>
    <w:rsid w:val="00C41DA7"/>
    <w:rsid w:val="00C547F3"/>
    <w:rsid w:val="00DA3923"/>
    <w:rsid w:val="00DD26E2"/>
    <w:rsid w:val="00E10E30"/>
    <w:rsid w:val="00E96888"/>
    <w:rsid w:val="00EE0207"/>
    <w:rsid w:val="00FA431B"/>
    <w:rsid w:val="00FB439A"/>
    <w:rsid w:val="00FC0C7C"/>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openxmlformats.org/officeDocument/2006/relationships/hyperlink" Target="https://doi.org/10.5281/zenodo.5539881" TargetMode="Externa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hyperlink" Target="https://doi.org/10.5281/zenodo.55443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41</cp:revision>
  <cp:lastPrinted>2021-10-01T18:41:00Z</cp:lastPrinted>
  <dcterms:created xsi:type="dcterms:W3CDTF">2021-09-24T20:08:00Z</dcterms:created>
  <dcterms:modified xsi:type="dcterms:W3CDTF">2021-12-10T14:40:00Z</dcterms:modified>
</cp:coreProperties>
</file>