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2B2EE" w14:textId="12ECEBA8" w:rsidR="00BA7B61" w:rsidRDefault="00AA266F" w:rsidP="00BF6A4C">
      <w:pPr>
        <w:spacing w:line="360" w:lineRule="auto"/>
        <w:rPr>
          <w:rFonts w:ascii="Century Schoolbook" w:hAnsi="Century Schoolbook"/>
          <w:b/>
          <w:bCs/>
        </w:rPr>
      </w:pPr>
      <w:r>
        <w:rPr>
          <w:rFonts w:ascii="Century Schoolbook" w:hAnsi="Century Schoolbook"/>
          <w:b/>
          <w:bCs/>
        </w:rPr>
        <w:t>History of energetic compensation at the site</w:t>
      </w:r>
    </w:p>
    <w:p w14:paraId="2619558A" w14:textId="34F349E1" w:rsidR="00AA266F" w:rsidRDefault="00AA266F" w:rsidP="00BF6A4C">
      <w:pPr>
        <w:spacing w:line="360" w:lineRule="auto"/>
        <w:rPr>
          <w:rFonts w:ascii="Century Schoolbook" w:hAnsi="Century Schoolbook"/>
        </w:rPr>
      </w:pPr>
    </w:p>
    <w:p w14:paraId="7465FFCC" w14:textId="0401FBC7" w:rsidR="00AA266F" w:rsidRDefault="00AA266F" w:rsidP="00BF6A4C">
      <w:pPr>
        <w:spacing w:line="360" w:lineRule="auto"/>
        <w:rPr>
          <w:rFonts w:ascii="Century Schoolbook" w:hAnsi="Century Schoolbook"/>
        </w:rPr>
      </w:pPr>
      <w:r>
        <w:rPr>
          <w:rFonts w:ascii="Century Schoolbook" w:hAnsi="Century Schoolbook"/>
        </w:rPr>
        <w:t xml:space="preserve">For the first two decades of the experiment, from 1977-1996, small granivores were more abundant and used more energy on exclosure plots than on control </w:t>
      </w:r>
      <w:proofErr w:type="gramStart"/>
      <w:r>
        <w:rPr>
          <w:rFonts w:ascii="Century Schoolbook" w:hAnsi="Century Schoolbook"/>
        </w:rPr>
        <w:t>plots, but</w:t>
      </w:r>
      <w:proofErr w:type="gramEnd"/>
      <w:r>
        <w:rPr>
          <w:rFonts w:ascii="Century Schoolbook" w:hAnsi="Century Schoolbook"/>
        </w:rPr>
        <w:t xml:space="preserve"> came far short of compensating for the shortfall in energy use caused by removing kangaroo rats from exclosure plots. The compensatory gains in energy use by small granivores on exclosures accounted for only 16% of the energy used by kangaroo rats on controls, and total energy use on exclosure plots averaged 25% of total energy use on controls. While there was some degree of functional overlap between kangaroo rats and small granivores, evinced by the increase in abundance and energy use of small granivores on exclosures relative to controls, it was highly restricted. Most - ~80% - of the energy being used by kangaroo rats appears to have been inaccessible to small granivores, even in the absence of competition from kangaroo rats. </w:t>
      </w:r>
    </w:p>
    <w:p w14:paraId="5B24A269" w14:textId="27777AED" w:rsidR="001132AB" w:rsidRDefault="001132AB" w:rsidP="00BF6A4C">
      <w:pPr>
        <w:spacing w:line="360" w:lineRule="auto"/>
        <w:rPr>
          <w:rFonts w:ascii="Century Schoolbook" w:hAnsi="Century Schoolbook"/>
        </w:rPr>
      </w:pPr>
    </w:p>
    <w:p w14:paraId="261949DA" w14:textId="77777777" w:rsidR="00071075" w:rsidRDefault="001132AB" w:rsidP="00BF6A4C">
      <w:pPr>
        <w:spacing w:line="360" w:lineRule="auto"/>
        <w:rPr>
          <w:rFonts w:ascii="Century Schoolbook" w:hAnsi="Century Schoolbook"/>
          <w:iCs/>
        </w:rPr>
      </w:pPr>
      <w:r>
        <w:rPr>
          <w:rFonts w:ascii="Century Schoolbook" w:hAnsi="Century Schoolbook"/>
        </w:rPr>
        <w:t xml:space="preserve">This arrangement changed in the late 1990s, following the arrival of a new species of small granivore, </w:t>
      </w:r>
      <w:proofErr w:type="spellStart"/>
      <w:r>
        <w:rPr>
          <w:rFonts w:ascii="Century Schoolbook" w:hAnsi="Century Schoolbook"/>
          <w:i/>
          <w:iCs/>
        </w:rPr>
        <w:t>Chaetodipus</w:t>
      </w:r>
      <w:proofErr w:type="spellEnd"/>
      <w:r>
        <w:rPr>
          <w:rFonts w:ascii="Century Schoolbook" w:hAnsi="Century Schoolbook"/>
          <w:i/>
          <w:iCs/>
        </w:rPr>
        <w:t xml:space="preserve"> </w:t>
      </w:r>
      <w:proofErr w:type="spellStart"/>
      <w:r>
        <w:rPr>
          <w:rFonts w:ascii="Century Schoolbook" w:hAnsi="Century Schoolbook"/>
          <w:i/>
          <w:iCs/>
        </w:rPr>
        <w:t>baileyii</w:t>
      </w:r>
      <w:proofErr w:type="spellEnd"/>
      <w:r>
        <w:rPr>
          <w:rFonts w:ascii="Century Schoolbook" w:hAnsi="Century Schoolbook"/>
        </w:rPr>
        <w:t xml:space="preserve">, at the site. </w:t>
      </w:r>
      <w:r>
        <w:rPr>
          <w:rFonts w:ascii="Century Schoolbook" w:hAnsi="Century Schoolbook"/>
          <w:i/>
          <w:iCs/>
        </w:rPr>
        <w:t xml:space="preserve">C. </w:t>
      </w:r>
      <w:proofErr w:type="spellStart"/>
      <w:r>
        <w:rPr>
          <w:rFonts w:ascii="Century Schoolbook" w:hAnsi="Century Schoolbook"/>
          <w:i/>
          <w:iCs/>
        </w:rPr>
        <w:t>baileyii</w:t>
      </w:r>
      <w:proofErr w:type="spellEnd"/>
      <w:r>
        <w:rPr>
          <w:rFonts w:ascii="Century Schoolbook" w:hAnsi="Century Schoolbook"/>
        </w:rPr>
        <w:t xml:space="preserve"> preferentially established on exclosure plots. As </w:t>
      </w:r>
      <w:r>
        <w:rPr>
          <w:rFonts w:ascii="Century Schoolbook" w:hAnsi="Century Schoolbook"/>
          <w:i/>
          <w:iCs/>
        </w:rPr>
        <w:t xml:space="preserve">C. </w:t>
      </w:r>
      <w:proofErr w:type="spellStart"/>
      <w:r>
        <w:rPr>
          <w:rFonts w:ascii="Century Schoolbook" w:hAnsi="Century Schoolbook"/>
          <w:i/>
          <w:iCs/>
        </w:rPr>
        <w:t>baileyii</w:t>
      </w:r>
      <w:proofErr w:type="spellEnd"/>
      <w:r>
        <w:rPr>
          <w:rFonts w:ascii="Century Schoolbook" w:hAnsi="Century Schoolbook"/>
        </w:rPr>
        <w:t xml:space="preserve"> became more abundant, the compensatory gains from the whole small granivore guild increased from 16% to 52% of kangaroo rat energy use, and the total energy use on exclosure plots increased from 25% to 67% of controls. </w:t>
      </w:r>
      <w:r>
        <w:rPr>
          <w:rFonts w:ascii="Century Schoolbook" w:hAnsi="Century Schoolbook"/>
          <w:i/>
        </w:rPr>
        <w:t xml:space="preserve">C. </w:t>
      </w:r>
      <w:proofErr w:type="spellStart"/>
      <w:r>
        <w:rPr>
          <w:rFonts w:ascii="Century Schoolbook" w:hAnsi="Century Schoolbook"/>
          <w:i/>
        </w:rPr>
        <w:t>baileyii</w:t>
      </w:r>
      <w:proofErr w:type="spellEnd"/>
      <w:r>
        <w:rPr>
          <w:rFonts w:ascii="Century Schoolbook" w:hAnsi="Century Schoolbook"/>
          <w:iCs/>
        </w:rPr>
        <w:t xml:space="preserve"> is intermediate in size between kangaroo rats and the small granivores that were already present at the </w:t>
      </w:r>
      <w:proofErr w:type="gramStart"/>
      <w:r>
        <w:rPr>
          <w:rFonts w:ascii="Century Schoolbook" w:hAnsi="Century Schoolbook"/>
          <w:iCs/>
        </w:rPr>
        <w:t>site, and</w:t>
      </w:r>
      <w:proofErr w:type="gramEnd"/>
      <w:r>
        <w:rPr>
          <w:rFonts w:ascii="Century Schoolbook" w:hAnsi="Century Schoolbook"/>
          <w:iCs/>
        </w:rPr>
        <w:t xml:space="preserve"> may </w:t>
      </w:r>
      <w:r w:rsidR="003D7B71">
        <w:rPr>
          <w:rFonts w:ascii="Century Schoolbook" w:hAnsi="Century Schoolbook"/>
          <w:iCs/>
        </w:rPr>
        <w:t>have been</w:t>
      </w:r>
      <w:r>
        <w:rPr>
          <w:rFonts w:ascii="Century Schoolbook" w:hAnsi="Century Schoolbook"/>
          <w:iCs/>
        </w:rPr>
        <w:t xml:space="preserve"> better equipped to access a subset of the resources used by kangaroo rats</w:t>
      </w:r>
      <w:r w:rsidR="00D831DD">
        <w:rPr>
          <w:rFonts w:ascii="Century Schoolbook" w:hAnsi="Century Schoolbook"/>
          <w:iCs/>
        </w:rPr>
        <w:t xml:space="preserve"> that were inaccessible to smaller granivores</w:t>
      </w:r>
      <w:r>
        <w:rPr>
          <w:rFonts w:ascii="Century Schoolbook" w:hAnsi="Century Schoolbook"/>
          <w:iCs/>
        </w:rPr>
        <w:t>.</w:t>
      </w:r>
      <w:r w:rsidR="003D7B71">
        <w:rPr>
          <w:rFonts w:ascii="Century Schoolbook" w:hAnsi="Century Schoolbook"/>
          <w:iCs/>
        </w:rPr>
        <w:t xml:space="preserve"> </w:t>
      </w:r>
    </w:p>
    <w:p w14:paraId="44EFF127" w14:textId="77777777" w:rsidR="00071075" w:rsidRDefault="00071075" w:rsidP="00BF6A4C">
      <w:pPr>
        <w:spacing w:line="360" w:lineRule="auto"/>
        <w:rPr>
          <w:rFonts w:ascii="Century Schoolbook" w:hAnsi="Century Schoolbook"/>
          <w:iCs/>
        </w:rPr>
      </w:pPr>
    </w:p>
    <w:p w14:paraId="7609742A" w14:textId="6FB0E707" w:rsidR="003D7B71" w:rsidRDefault="00BA5346" w:rsidP="00BF6A4C">
      <w:pPr>
        <w:spacing w:line="360" w:lineRule="auto"/>
        <w:rPr>
          <w:rFonts w:ascii="Century Schoolbook" w:hAnsi="Century Schoolbook"/>
          <w:iCs/>
        </w:rPr>
      </w:pPr>
      <w:r>
        <w:rPr>
          <w:rFonts w:ascii="Century Schoolbook" w:hAnsi="Century Schoolbook"/>
          <w:iCs/>
        </w:rPr>
        <w:t xml:space="preserve">Over the 1980s and 1990s, the rodent community at the site shifted from being strongly dominated by kangaroo rats </w:t>
      </w:r>
      <w:r w:rsidR="00562660">
        <w:rPr>
          <w:rFonts w:ascii="Century Schoolbook" w:hAnsi="Century Schoolbook"/>
          <w:iCs/>
        </w:rPr>
        <w:t xml:space="preserve">(a mean of 90% of energy use on controls from 1988-1996) </w:t>
      </w:r>
      <w:r>
        <w:rPr>
          <w:rFonts w:ascii="Century Schoolbook" w:hAnsi="Century Schoolbook"/>
          <w:iCs/>
        </w:rPr>
        <w:t>to a more even mixture of kangaroo rats and smaller granivores</w:t>
      </w:r>
      <w:r w:rsidR="00F9496A">
        <w:rPr>
          <w:rFonts w:ascii="Century Schoolbook" w:hAnsi="Century Schoolbook"/>
          <w:iCs/>
        </w:rPr>
        <w:t xml:space="preserve"> (~72% kangaroo rats</w:t>
      </w:r>
      <w:r w:rsidR="00F47A61">
        <w:rPr>
          <w:rFonts w:ascii="Century Schoolbook" w:hAnsi="Century Schoolbook"/>
          <w:iCs/>
        </w:rPr>
        <w:t xml:space="preserve"> on control plots</w:t>
      </w:r>
      <w:r w:rsidR="00F9496A">
        <w:rPr>
          <w:rFonts w:ascii="Century Schoolbook" w:hAnsi="Century Schoolbook"/>
          <w:iCs/>
        </w:rPr>
        <w:t>)</w:t>
      </w:r>
      <w:r>
        <w:rPr>
          <w:rFonts w:ascii="Century Schoolbook" w:hAnsi="Century Schoolbook"/>
          <w:iCs/>
        </w:rPr>
        <w:t xml:space="preserve">. This shift began in the early 1980s as </w:t>
      </w:r>
      <w:proofErr w:type="spellStart"/>
      <w:r>
        <w:rPr>
          <w:rFonts w:ascii="Century Schoolbook" w:hAnsi="Century Schoolbook"/>
          <w:i/>
        </w:rPr>
        <w:t>Dipodomys</w:t>
      </w:r>
      <w:proofErr w:type="spellEnd"/>
      <w:r>
        <w:rPr>
          <w:rFonts w:ascii="Century Schoolbook" w:hAnsi="Century Schoolbook"/>
          <w:i/>
        </w:rPr>
        <w:t xml:space="preserve"> spectabilis </w:t>
      </w:r>
      <w:r>
        <w:rPr>
          <w:rFonts w:ascii="Century Schoolbook" w:hAnsi="Century Schoolbook"/>
          <w:iCs/>
        </w:rPr>
        <w:t xml:space="preserve">declined at the </w:t>
      </w:r>
      <w:proofErr w:type="gramStart"/>
      <w:r>
        <w:rPr>
          <w:rFonts w:ascii="Century Schoolbook" w:hAnsi="Century Schoolbook"/>
          <w:iCs/>
        </w:rPr>
        <w:t xml:space="preserve">site, </w:t>
      </w:r>
      <w:r w:rsidR="00123B99">
        <w:rPr>
          <w:rFonts w:ascii="Century Schoolbook" w:hAnsi="Century Schoolbook"/>
          <w:iCs/>
        </w:rPr>
        <w:t>and</w:t>
      </w:r>
      <w:proofErr w:type="gramEnd"/>
      <w:r>
        <w:rPr>
          <w:rFonts w:ascii="Century Schoolbook" w:hAnsi="Century Schoolbook"/>
          <w:iCs/>
        </w:rPr>
        <w:t xml:space="preserve"> continued over the 1990s and 2000s. </w:t>
      </w:r>
      <w:r w:rsidR="00562660">
        <w:rPr>
          <w:rFonts w:ascii="Century Schoolbook" w:hAnsi="Century Schoolbook"/>
          <w:iCs/>
        </w:rPr>
        <w:t xml:space="preserve">Over the </w:t>
      </w:r>
      <w:r w:rsidR="00562660">
        <w:rPr>
          <w:rFonts w:ascii="Century Schoolbook" w:hAnsi="Century Schoolbook"/>
          <w:iCs/>
        </w:rPr>
        <w:lastRenderedPageBreak/>
        <w:t xml:space="preserve">same time period, the vegetation at the site transitioned from grassland to patchy shrubland. </w:t>
      </w:r>
      <w:r>
        <w:rPr>
          <w:rFonts w:ascii="Century Schoolbook" w:hAnsi="Century Schoolbook"/>
          <w:iCs/>
        </w:rPr>
        <w:t xml:space="preserve"> </w:t>
      </w:r>
      <w:r w:rsidR="00123B99">
        <w:rPr>
          <w:rFonts w:ascii="Century Schoolbook" w:hAnsi="Century Schoolbook"/>
          <w:iCs/>
        </w:rPr>
        <w:t>This habitat transition may partially explain the shift in the rodent community favoring small granivores. While kangaroo rats are well-equipped to forage for seeds in open landscapes, smaller granivores often avoid foraging in the open as an antipredator strategy. The transition to shrubland may have increased the availability of resources – seeds – in sheltered microhabitats, thereby increasing the proportion of resources accessible to small granivores.</w:t>
      </w:r>
    </w:p>
    <w:p w14:paraId="1974787E" w14:textId="243F3C3D" w:rsidR="00123B99" w:rsidRDefault="00123B99" w:rsidP="00BF6A4C">
      <w:pPr>
        <w:spacing w:line="360" w:lineRule="auto"/>
        <w:rPr>
          <w:rFonts w:ascii="Century Schoolbook" w:hAnsi="Century Schoolbook"/>
          <w:iCs/>
        </w:rPr>
      </w:pPr>
    </w:p>
    <w:p w14:paraId="28F6A80F" w14:textId="768BFA1B" w:rsidR="00123B99" w:rsidRDefault="00123B99" w:rsidP="00BF6A4C">
      <w:pPr>
        <w:spacing w:line="360" w:lineRule="auto"/>
        <w:rPr>
          <w:rFonts w:ascii="Century Schoolbook" w:hAnsi="Century Schoolbook"/>
          <w:iCs/>
        </w:rPr>
      </w:pPr>
      <w:r>
        <w:rPr>
          <w:rFonts w:ascii="Century Schoolbook" w:hAnsi="Century Schoolbook"/>
          <w:iCs/>
        </w:rPr>
        <w:t xml:space="preserve">Following a drought and community-wide population crash in 2009-2010, the composition of the rodent community </w:t>
      </w:r>
      <w:r w:rsidR="00FB3C5C">
        <w:rPr>
          <w:rFonts w:ascii="Century Schoolbook" w:hAnsi="Century Schoolbook"/>
          <w:iCs/>
        </w:rPr>
        <w:t xml:space="preserve">on control plots underwent another transition, driven primarily by the decline of </w:t>
      </w:r>
      <w:r w:rsidR="00FB3C5C">
        <w:rPr>
          <w:rFonts w:ascii="Century Schoolbook" w:hAnsi="Century Schoolbook"/>
          <w:i/>
        </w:rPr>
        <w:t xml:space="preserve">C. </w:t>
      </w:r>
      <w:proofErr w:type="spellStart"/>
      <w:r w:rsidR="00485328">
        <w:rPr>
          <w:rFonts w:ascii="Century Schoolbook" w:hAnsi="Century Schoolbook"/>
          <w:i/>
        </w:rPr>
        <w:t>baileyii</w:t>
      </w:r>
      <w:proofErr w:type="spellEnd"/>
      <w:r w:rsidR="00FB3C5C">
        <w:rPr>
          <w:rFonts w:ascii="Century Schoolbook" w:hAnsi="Century Schoolbook"/>
          <w:iCs/>
        </w:rPr>
        <w:t xml:space="preserve">. From 1996-2009, </w:t>
      </w:r>
      <w:r w:rsidR="00FB3C5C">
        <w:rPr>
          <w:rFonts w:ascii="Century Schoolbook" w:hAnsi="Century Schoolbook"/>
          <w:i/>
        </w:rPr>
        <w:t xml:space="preserve">C. </w:t>
      </w:r>
      <w:proofErr w:type="spellStart"/>
      <w:r w:rsidR="00FB3C5C">
        <w:rPr>
          <w:rFonts w:ascii="Century Schoolbook" w:hAnsi="Century Schoolbook"/>
          <w:i/>
        </w:rPr>
        <w:t>baileyii</w:t>
      </w:r>
      <w:proofErr w:type="spellEnd"/>
      <w:r w:rsidR="00FB3C5C">
        <w:rPr>
          <w:rFonts w:ascii="Century Schoolbook" w:hAnsi="Century Schoolbook"/>
          <w:i/>
        </w:rPr>
        <w:t xml:space="preserve"> </w:t>
      </w:r>
      <w:r w:rsidR="00FB3C5C">
        <w:rPr>
          <w:rFonts w:ascii="Century Schoolbook" w:hAnsi="Century Schoolbook"/>
          <w:iCs/>
        </w:rPr>
        <w:t xml:space="preserve">accounted for ~15% of energy use on controls; from 2010 onwards, this declined to ~5%. </w:t>
      </w:r>
    </w:p>
    <w:p w14:paraId="2829FE6A" w14:textId="6E11EE30" w:rsidR="00A27D91" w:rsidRDefault="00A27D91" w:rsidP="00BF6A4C">
      <w:pPr>
        <w:spacing w:line="360" w:lineRule="auto"/>
        <w:rPr>
          <w:rFonts w:ascii="Century Schoolbook" w:hAnsi="Century Schoolbook"/>
          <w:iCs/>
        </w:rPr>
      </w:pPr>
    </w:p>
    <w:p w14:paraId="40EBA4CB" w14:textId="6F0C8620" w:rsidR="00A27D91" w:rsidRDefault="00A27D91" w:rsidP="00BF6A4C">
      <w:pPr>
        <w:spacing w:line="360" w:lineRule="auto"/>
        <w:rPr>
          <w:rFonts w:ascii="Century Schoolbook" w:hAnsi="Century Schoolbook"/>
        </w:rPr>
      </w:pPr>
      <w:r>
        <w:rPr>
          <w:rFonts w:ascii="Century Schoolbook" w:hAnsi="Century Schoolbook"/>
          <w:iCs/>
        </w:rPr>
        <w:t xml:space="preserve">We investigated the </w:t>
      </w:r>
      <w:r w:rsidR="00ED50C4">
        <w:rPr>
          <w:rFonts w:ascii="Century Schoolbook" w:hAnsi="Century Schoolbook"/>
          <w:iCs/>
        </w:rPr>
        <w:t>extent of</w:t>
      </w:r>
      <w:r>
        <w:rPr>
          <w:rFonts w:ascii="Century Schoolbook" w:hAnsi="Century Schoolbook"/>
          <w:iCs/>
        </w:rPr>
        <w:t xml:space="preserve"> </w:t>
      </w:r>
      <w:r>
        <w:rPr>
          <w:rFonts w:ascii="Century Schoolbook" w:hAnsi="Century Schoolbook"/>
          <w:i/>
          <w:iCs/>
        </w:rPr>
        <w:t xml:space="preserve">C. </w:t>
      </w:r>
      <w:proofErr w:type="spellStart"/>
      <w:r>
        <w:rPr>
          <w:rFonts w:ascii="Century Schoolbook" w:hAnsi="Century Schoolbook"/>
          <w:i/>
          <w:iCs/>
        </w:rPr>
        <w:t>baileyii</w:t>
      </w:r>
      <w:r>
        <w:rPr>
          <w:rFonts w:ascii="Century Schoolbook" w:hAnsi="Century Schoolbook"/>
        </w:rPr>
        <w:t>’s</w:t>
      </w:r>
      <w:proofErr w:type="spellEnd"/>
      <w:r>
        <w:rPr>
          <w:rFonts w:ascii="Century Schoolbook" w:hAnsi="Century Schoolbook"/>
        </w:rPr>
        <w:t xml:space="preserve"> decline</w:t>
      </w:r>
      <w:r w:rsidR="00ED50C4">
        <w:rPr>
          <w:rFonts w:ascii="Century Schoolbook" w:hAnsi="Century Schoolbook"/>
        </w:rPr>
        <w:t xml:space="preserve"> on exclosure plots and its impacts on energetic compensation, within the broader context of the long-term shift in habitat and community composition at the site. </w:t>
      </w:r>
      <w:r w:rsidR="00062D16">
        <w:rPr>
          <w:rFonts w:ascii="Century Schoolbook" w:hAnsi="Century Schoolbook"/>
        </w:rPr>
        <w:t>Since its arrival</w:t>
      </w:r>
      <w:r w:rsidR="00ED50C4">
        <w:rPr>
          <w:rFonts w:ascii="Century Schoolbook" w:hAnsi="Century Schoolbook"/>
        </w:rPr>
        <w:t xml:space="preserve"> at the site, </w:t>
      </w:r>
      <w:r w:rsidR="00ED50C4">
        <w:rPr>
          <w:rFonts w:ascii="Century Schoolbook" w:hAnsi="Century Schoolbook"/>
          <w:i/>
          <w:iCs/>
        </w:rPr>
        <w:t xml:space="preserve">C. </w:t>
      </w:r>
      <w:proofErr w:type="spellStart"/>
      <w:r w:rsidR="00ED50C4">
        <w:rPr>
          <w:rFonts w:ascii="Century Schoolbook" w:hAnsi="Century Schoolbook"/>
          <w:i/>
          <w:iCs/>
        </w:rPr>
        <w:t>baileyii</w:t>
      </w:r>
      <w:proofErr w:type="spellEnd"/>
      <w:r w:rsidR="00ED50C4">
        <w:rPr>
          <w:rFonts w:ascii="Century Schoolbook" w:hAnsi="Century Schoolbook"/>
          <w:i/>
          <w:iCs/>
        </w:rPr>
        <w:t xml:space="preserve"> </w:t>
      </w:r>
      <w:r w:rsidR="00ED50C4">
        <w:rPr>
          <w:rFonts w:ascii="Century Schoolbook" w:hAnsi="Century Schoolbook"/>
        </w:rPr>
        <w:t xml:space="preserve">has been scarce on control plots and dominant on exclosure plots; its decline on control plots does not necessarily signal a catastrophic decline on exclosure plots. </w:t>
      </w:r>
      <w:r w:rsidR="009B01F8">
        <w:rPr>
          <w:rFonts w:ascii="Century Schoolbook" w:hAnsi="Century Schoolbook"/>
        </w:rPr>
        <w:t>If</w:t>
      </w:r>
      <w:r w:rsidR="00ED50C4">
        <w:rPr>
          <w:rFonts w:ascii="Century Schoolbook" w:hAnsi="Century Schoolbook"/>
        </w:rPr>
        <w:t xml:space="preserve"> </w:t>
      </w:r>
      <w:r w:rsidR="00ED50C4">
        <w:rPr>
          <w:rFonts w:ascii="Century Schoolbook" w:hAnsi="Century Schoolbook"/>
          <w:i/>
          <w:iCs/>
        </w:rPr>
        <w:t xml:space="preserve">C. </w:t>
      </w:r>
      <w:proofErr w:type="spellStart"/>
      <w:r w:rsidR="00ED50C4">
        <w:rPr>
          <w:rFonts w:ascii="Century Schoolbook" w:hAnsi="Century Schoolbook"/>
          <w:i/>
          <w:iCs/>
        </w:rPr>
        <w:t>baileyii</w:t>
      </w:r>
      <w:proofErr w:type="spellEnd"/>
      <w:r w:rsidR="00ED50C4">
        <w:rPr>
          <w:rFonts w:ascii="Century Schoolbook" w:hAnsi="Century Schoolbook"/>
          <w:i/>
          <w:iCs/>
        </w:rPr>
        <w:t xml:space="preserve"> </w:t>
      </w:r>
      <w:r w:rsidR="001D57F0">
        <w:rPr>
          <w:rFonts w:ascii="Century Schoolbook" w:hAnsi="Century Schoolbook"/>
        </w:rPr>
        <w:t xml:space="preserve">no </w:t>
      </w:r>
      <w:r w:rsidR="00ED50C4">
        <w:rPr>
          <w:rFonts w:ascii="Century Schoolbook" w:hAnsi="Century Schoolbook"/>
        </w:rPr>
        <w:t xml:space="preserve">longer </w:t>
      </w:r>
      <w:r w:rsidR="001D57F0">
        <w:rPr>
          <w:rFonts w:ascii="Century Schoolbook" w:hAnsi="Century Schoolbook"/>
        </w:rPr>
        <w:t>persists</w:t>
      </w:r>
      <w:r w:rsidR="00ED50C4">
        <w:rPr>
          <w:rFonts w:ascii="Century Schoolbook" w:hAnsi="Century Schoolbook"/>
        </w:rPr>
        <w:t xml:space="preserve"> </w:t>
      </w:r>
      <w:r w:rsidR="009B01F8">
        <w:rPr>
          <w:rFonts w:ascii="Century Schoolbook" w:hAnsi="Century Schoolbook"/>
        </w:rPr>
        <w:t>in</w:t>
      </w:r>
      <w:r w:rsidR="00ED50C4">
        <w:rPr>
          <w:rFonts w:ascii="Century Schoolbook" w:hAnsi="Century Schoolbook"/>
        </w:rPr>
        <w:t xml:space="preserve"> large numbers even on exclosure plots</w:t>
      </w:r>
      <w:r w:rsidR="009B01F8">
        <w:rPr>
          <w:rFonts w:ascii="Century Schoolbook" w:hAnsi="Century Schoolbook"/>
        </w:rPr>
        <w:t xml:space="preserve">, then the small granivore community on those plots is now functionally missing the species that drove the compensatory effect observed in the 2000s. </w:t>
      </w:r>
      <w:r w:rsidR="001D57F0">
        <w:rPr>
          <w:rFonts w:ascii="Century Schoolbook" w:hAnsi="Century Schoolbook"/>
        </w:rPr>
        <w:t xml:space="preserve">This could mean that the system will revert to its pre-1990s state, in terms of energetic compensation, with very little compensation from small granivores and a large discrepancy in total energy use between exclosures and controls. However, the shifts in habitat and community composition over the decades introduce additional possibilities. If the increased </w:t>
      </w:r>
      <w:proofErr w:type="spellStart"/>
      <w:r w:rsidR="001D57F0">
        <w:rPr>
          <w:rFonts w:ascii="Century Schoolbook" w:hAnsi="Century Schoolbook"/>
        </w:rPr>
        <w:t>shrubbiness</w:t>
      </w:r>
      <w:proofErr w:type="spellEnd"/>
      <w:r w:rsidR="001D57F0">
        <w:rPr>
          <w:rFonts w:ascii="Century Schoolbook" w:hAnsi="Century Schoolbook"/>
        </w:rPr>
        <w:t xml:space="preserve"> of the landscape means that small granivores – even those other than </w:t>
      </w:r>
      <w:r w:rsidR="001D57F0">
        <w:rPr>
          <w:rFonts w:ascii="Century Schoolbook" w:hAnsi="Century Schoolbook"/>
          <w:i/>
          <w:iCs/>
        </w:rPr>
        <w:t xml:space="preserve">C. </w:t>
      </w:r>
      <w:proofErr w:type="spellStart"/>
      <w:r w:rsidR="001D57F0">
        <w:rPr>
          <w:rFonts w:ascii="Century Schoolbook" w:hAnsi="Century Schoolbook"/>
          <w:i/>
          <w:iCs/>
        </w:rPr>
        <w:t>bailyeii</w:t>
      </w:r>
      <w:proofErr w:type="spellEnd"/>
      <w:r w:rsidR="001D57F0">
        <w:rPr>
          <w:rFonts w:ascii="Century Schoolbook" w:hAnsi="Century Schoolbook"/>
        </w:rPr>
        <w:t xml:space="preserve"> – can now access a greater proportion of the resources used by kangaroo rats, the remaining small granivore community may achieve a greater degree of energetic compensation now than in the early days of the experiment. </w:t>
      </w:r>
      <w:r w:rsidR="00800C84">
        <w:rPr>
          <w:rFonts w:ascii="Century Schoolbook" w:hAnsi="Century Schoolbook"/>
        </w:rPr>
        <w:t xml:space="preserve">Or, if there has been an increase in partitioning between kangaroo rats and smaller </w:t>
      </w:r>
      <w:r w:rsidR="00800C84">
        <w:rPr>
          <w:rFonts w:ascii="Century Schoolbook" w:hAnsi="Century Schoolbook"/>
        </w:rPr>
        <w:lastRenderedPageBreak/>
        <w:t>granivores – for example, with kangaroo rats using resources in the open and small granivores using resources in sheltered microhabitats – the suppressive competitive effect of kangaroo rats on small granivores may be weakened, and the compensatory increase in small granivore energy use on exclosures may be minimal</w:t>
      </w:r>
      <w:r w:rsidR="00071D26">
        <w:rPr>
          <w:rFonts w:ascii="Century Schoolbook" w:hAnsi="Century Schoolbook"/>
        </w:rPr>
        <w:t xml:space="preserve"> to nonexistent</w:t>
      </w:r>
      <w:r w:rsidR="00800C84">
        <w:rPr>
          <w:rFonts w:ascii="Century Schoolbook" w:hAnsi="Century Schoolbook"/>
        </w:rPr>
        <w:t xml:space="preserve">. Finally, the sitewide increase in small granivore abundance may </w:t>
      </w:r>
      <w:r w:rsidR="00AD46B1">
        <w:rPr>
          <w:rFonts w:ascii="Century Schoolbook" w:hAnsi="Century Schoolbook"/>
        </w:rPr>
        <w:t xml:space="preserve">shrink the discrepancy in total energy use between exclosures and controls, regardless of whether the </w:t>
      </w:r>
      <w:r w:rsidR="00AD46B1">
        <w:rPr>
          <w:rFonts w:ascii="Century Schoolbook" w:hAnsi="Century Schoolbook"/>
          <w:i/>
          <w:iCs/>
        </w:rPr>
        <w:t xml:space="preserve">compensatory </w:t>
      </w:r>
      <w:r w:rsidR="00AD46B1">
        <w:rPr>
          <w:rFonts w:ascii="Century Schoolbook" w:hAnsi="Century Schoolbook"/>
        </w:rPr>
        <w:t xml:space="preserve">response has changed. </w:t>
      </w:r>
    </w:p>
    <w:p w14:paraId="4E8279D4" w14:textId="7E888BC2" w:rsidR="00071D26" w:rsidRDefault="00071D26" w:rsidP="00BF6A4C">
      <w:pPr>
        <w:spacing w:line="360" w:lineRule="auto"/>
        <w:rPr>
          <w:rFonts w:ascii="Century Schoolbook" w:hAnsi="Century Schoolbook"/>
        </w:rPr>
      </w:pPr>
    </w:p>
    <w:p w14:paraId="41A5E360" w14:textId="1FD9ECD9" w:rsidR="00071D26" w:rsidRDefault="00071D26" w:rsidP="00BF6A4C">
      <w:pPr>
        <w:spacing w:line="360" w:lineRule="auto"/>
        <w:rPr>
          <w:rFonts w:ascii="Century Schoolbook" w:hAnsi="Century Schoolbook"/>
          <w:b/>
          <w:bCs/>
        </w:rPr>
      </w:pPr>
      <w:r>
        <w:rPr>
          <w:rFonts w:ascii="Century Schoolbook" w:hAnsi="Century Schoolbook"/>
          <w:b/>
          <w:bCs/>
        </w:rPr>
        <w:t>Results</w:t>
      </w:r>
    </w:p>
    <w:p w14:paraId="06600851" w14:textId="70F00C9F" w:rsidR="008E26AB" w:rsidRDefault="008E26AB" w:rsidP="00BF6A4C">
      <w:pPr>
        <w:spacing w:line="360" w:lineRule="auto"/>
        <w:rPr>
          <w:rFonts w:ascii="Century Schoolbook" w:hAnsi="Century Schoolbook"/>
        </w:rPr>
      </w:pPr>
    </w:p>
    <w:p w14:paraId="67021041" w14:textId="3C366245" w:rsidR="00C5363F" w:rsidRDefault="008E26AB" w:rsidP="00BF6A4C">
      <w:pPr>
        <w:spacing w:line="360" w:lineRule="auto"/>
        <w:rPr>
          <w:rFonts w:ascii="Century Schoolbook" w:hAnsi="Century Schoolbook"/>
          <w:iCs/>
        </w:rPr>
      </w:pPr>
      <w:r>
        <w:rPr>
          <w:rFonts w:ascii="Century Schoolbook" w:hAnsi="Century Schoolbook"/>
        </w:rPr>
        <w:t xml:space="preserve">From 1996-2010, </w:t>
      </w:r>
      <w:r>
        <w:rPr>
          <w:rFonts w:ascii="Century Schoolbook" w:hAnsi="Century Schoolbook"/>
          <w:i/>
          <w:iCs/>
        </w:rPr>
        <w:t xml:space="preserve">C. </w:t>
      </w:r>
      <w:proofErr w:type="spellStart"/>
      <w:r>
        <w:rPr>
          <w:rFonts w:ascii="Century Schoolbook" w:hAnsi="Century Schoolbook"/>
          <w:i/>
          <w:iCs/>
        </w:rPr>
        <w:t>baileyi</w:t>
      </w:r>
      <w:proofErr w:type="spellEnd"/>
      <w:r>
        <w:rPr>
          <w:rFonts w:ascii="Century Schoolbook" w:hAnsi="Century Schoolbook"/>
          <w:i/>
          <w:iCs/>
        </w:rPr>
        <w:t xml:space="preserve"> </w:t>
      </w:r>
      <w:r>
        <w:rPr>
          <w:rFonts w:ascii="Century Schoolbook" w:hAnsi="Century Schoolbook"/>
        </w:rPr>
        <w:t xml:space="preserve">accounted for an average of 65% of energy use on exclosure plots, but from 2010-2020, this declined to an average of ~25%. Energetic compensation from small granivores on exclosure plots averaged 16% prior to </w:t>
      </w:r>
      <w:r>
        <w:rPr>
          <w:rFonts w:ascii="Century Schoolbook" w:hAnsi="Century Schoolbook"/>
          <w:i/>
          <w:iCs/>
        </w:rPr>
        <w:t xml:space="preserve">C. </w:t>
      </w:r>
      <w:proofErr w:type="spellStart"/>
      <w:r>
        <w:rPr>
          <w:rFonts w:ascii="Century Schoolbook" w:hAnsi="Century Schoolbook"/>
          <w:i/>
          <w:iCs/>
        </w:rPr>
        <w:t>baileyi</w:t>
      </w:r>
      <w:r>
        <w:rPr>
          <w:rFonts w:ascii="Century Schoolbook" w:hAnsi="Century Schoolbook"/>
        </w:rPr>
        <w:t>’s</w:t>
      </w:r>
      <w:proofErr w:type="spellEnd"/>
      <w:r>
        <w:rPr>
          <w:rFonts w:ascii="Century Schoolbook" w:hAnsi="Century Schoolbook"/>
        </w:rPr>
        <w:t xml:space="preserve"> arrival at the site and 52% when </w:t>
      </w:r>
      <w:r>
        <w:rPr>
          <w:rFonts w:ascii="Century Schoolbook" w:hAnsi="Century Schoolbook"/>
          <w:i/>
          <w:iCs/>
        </w:rPr>
        <w:t xml:space="preserve">C. </w:t>
      </w:r>
      <w:proofErr w:type="spellStart"/>
      <w:r>
        <w:rPr>
          <w:rFonts w:ascii="Century Schoolbook" w:hAnsi="Century Schoolbook"/>
          <w:i/>
          <w:iCs/>
        </w:rPr>
        <w:t>baileyi</w:t>
      </w:r>
      <w:proofErr w:type="spellEnd"/>
      <w:r>
        <w:rPr>
          <w:rFonts w:ascii="Century Schoolbook" w:hAnsi="Century Schoolbook"/>
          <w:i/>
          <w:iCs/>
        </w:rPr>
        <w:t xml:space="preserve"> </w:t>
      </w:r>
      <w:r>
        <w:rPr>
          <w:rFonts w:ascii="Century Schoolbook" w:hAnsi="Century Schoolbook"/>
        </w:rPr>
        <w:t xml:space="preserve">was dominant on exclosure plots. Following the decline in </w:t>
      </w:r>
      <w:r>
        <w:rPr>
          <w:rFonts w:ascii="Century Schoolbook" w:hAnsi="Century Schoolbook"/>
          <w:i/>
        </w:rPr>
        <w:t xml:space="preserve">C. </w:t>
      </w:r>
      <w:proofErr w:type="spellStart"/>
      <w:r>
        <w:rPr>
          <w:rFonts w:ascii="Century Schoolbook" w:hAnsi="Century Schoolbook"/>
          <w:i/>
        </w:rPr>
        <w:t>baileyi</w:t>
      </w:r>
      <w:proofErr w:type="spellEnd"/>
      <w:r>
        <w:rPr>
          <w:rFonts w:ascii="Century Schoolbook" w:hAnsi="Century Schoolbook"/>
          <w:i/>
        </w:rPr>
        <w:t xml:space="preserve"> </w:t>
      </w:r>
      <w:r>
        <w:rPr>
          <w:rFonts w:ascii="Century Schoolbook" w:hAnsi="Century Schoolbook"/>
          <w:iCs/>
        </w:rPr>
        <w:t xml:space="preserve">beginning in 2010, compensation declined to </w:t>
      </w:r>
      <w:r w:rsidR="00C5363F">
        <w:rPr>
          <w:rFonts w:ascii="Century Schoolbook" w:hAnsi="Century Schoolbook"/>
          <w:iCs/>
        </w:rPr>
        <w:t xml:space="preserve">an average of </w:t>
      </w:r>
      <w:r>
        <w:rPr>
          <w:rFonts w:ascii="Century Schoolbook" w:hAnsi="Century Schoolbook"/>
          <w:iCs/>
        </w:rPr>
        <w:t>~20%</w:t>
      </w:r>
      <w:r w:rsidR="00C5363F">
        <w:rPr>
          <w:rFonts w:ascii="Century Schoolbook" w:hAnsi="Century Schoolbook"/>
          <w:iCs/>
        </w:rPr>
        <w:t xml:space="preserve">, and not significantly different from the level observed from 1988-1996. </w:t>
      </w:r>
      <w:r w:rsidR="00DA59C7">
        <w:rPr>
          <w:rFonts w:ascii="Century Schoolbook" w:hAnsi="Century Schoolbook"/>
          <w:iCs/>
        </w:rPr>
        <w:t xml:space="preserve">Total energy use on exclosure plots averaged 25% of control plots prior to 1996, 67% from 1996-2010, and ~47% from 2010-2020. </w:t>
      </w:r>
    </w:p>
    <w:p w14:paraId="0D64D553" w14:textId="77777777" w:rsidR="008C3AD5" w:rsidRDefault="008C3AD5" w:rsidP="00BF6A4C">
      <w:pPr>
        <w:spacing w:line="360" w:lineRule="auto"/>
        <w:rPr>
          <w:rFonts w:ascii="Century Schoolbook" w:hAnsi="Century Schoolbook"/>
          <w:iCs/>
        </w:rPr>
      </w:pPr>
    </w:p>
    <w:p w14:paraId="6D5C5142" w14:textId="09A64DD0" w:rsidR="0036354E" w:rsidRDefault="0036354E" w:rsidP="00BF6A4C">
      <w:pPr>
        <w:spacing w:line="360" w:lineRule="auto"/>
        <w:rPr>
          <w:rFonts w:ascii="Century Schoolbook" w:hAnsi="Century Schoolbook"/>
          <w:iCs/>
        </w:rPr>
      </w:pPr>
    </w:p>
    <w:p w14:paraId="4B211DF0" w14:textId="0D328EF7" w:rsidR="00133109" w:rsidRPr="00133109" w:rsidRDefault="00133109" w:rsidP="00133109">
      <w:pPr>
        <w:rPr>
          <w:rFonts w:ascii="Times New Roman" w:eastAsia="Times New Roman" w:hAnsi="Times New Roman" w:cs="Times New Roman"/>
        </w:rPr>
      </w:pPr>
      <w:r w:rsidRPr="00133109">
        <w:rPr>
          <w:rFonts w:ascii="Century Schoolbook" w:hAnsi="Century Schoolbook"/>
          <w:noProof/>
        </w:rPr>
        <w:lastRenderedPageBreak/>
        <w:drawing>
          <wp:inline distT="0" distB="0" distL="0" distR="0" wp14:anchorId="11D24802" wp14:editId="41FFCB99">
            <wp:extent cx="5943600" cy="297180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9AAF18B" w14:textId="50041E3C" w:rsidR="00133109" w:rsidRPr="00133109" w:rsidRDefault="00133109" w:rsidP="00133109">
      <w:pPr>
        <w:rPr>
          <w:rFonts w:ascii="Times New Roman" w:eastAsia="Times New Roman" w:hAnsi="Times New Roman" w:cs="Times New Roman"/>
        </w:rPr>
      </w:pPr>
    </w:p>
    <w:p w14:paraId="0E0F77C2" w14:textId="3410EA51" w:rsidR="00133109" w:rsidRPr="00133109" w:rsidRDefault="00133109" w:rsidP="00133109">
      <w:pPr>
        <w:rPr>
          <w:rFonts w:ascii="Times New Roman" w:eastAsia="Times New Roman" w:hAnsi="Times New Roman" w:cs="Times New Roman"/>
        </w:rPr>
      </w:pPr>
      <w:r w:rsidRPr="00133109">
        <w:rPr>
          <w:rFonts w:ascii="Century Schoolbook" w:hAnsi="Century Schoolbook"/>
          <w:noProof/>
        </w:rPr>
        <w:drawing>
          <wp:inline distT="0" distB="0" distL="0" distR="0" wp14:anchorId="4B516EAB" wp14:editId="0C1245EA">
            <wp:extent cx="5943600" cy="2971800"/>
            <wp:effectExtent l="0" t="0" r="0" b="0"/>
            <wp:docPr id="4" name="Picture 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1BF3335" w14:textId="01DE919E" w:rsidR="00133109" w:rsidRPr="00133109" w:rsidRDefault="00133109" w:rsidP="00133109">
      <w:pPr>
        <w:rPr>
          <w:rFonts w:ascii="Times New Roman" w:eastAsia="Times New Roman" w:hAnsi="Times New Roman" w:cs="Times New Roman"/>
        </w:rPr>
      </w:pPr>
      <w:r w:rsidRPr="00133109">
        <w:rPr>
          <w:rFonts w:ascii="Century Schoolbook" w:hAnsi="Century Schoolbook"/>
          <w:noProof/>
        </w:rPr>
        <w:lastRenderedPageBreak/>
        <w:drawing>
          <wp:inline distT="0" distB="0" distL="0" distR="0" wp14:anchorId="6E38BD33" wp14:editId="0B8B80F3">
            <wp:extent cx="5943600" cy="2971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C03C95A" w14:textId="77777777" w:rsidR="0036354E" w:rsidRPr="0036354E" w:rsidRDefault="0036354E" w:rsidP="00BF6A4C">
      <w:pPr>
        <w:spacing w:line="360" w:lineRule="auto"/>
        <w:rPr>
          <w:rFonts w:ascii="Century Schoolbook" w:hAnsi="Century Schoolbook"/>
        </w:rPr>
      </w:pPr>
    </w:p>
    <w:sectPr w:rsidR="0036354E" w:rsidRPr="0036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6F"/>
    <w:rsid w:val="00062D16"/>
    <w:rsid w:val="00071075"/>
    <w:rsid w:val="00071D26"/>
    <w:rsid w:val="001132AB"/>
    <w:rsid w:val="00123B99"/>
    <w:rsid w:val="00133109"/>
    <w:rsid w:val="00160050"/>
    <w:rsid w:val="001D57F0"/>
    <w:rsid w:val="0021546B"/>
    <w:rsid w:val="0036354E"/>
    <w:rsid w:val="003D7B71"/>
    <w:rsid w:val="00421C8A"/>
    <w:rsid w:val="00485328"/>
    <w:rsid w:val="00562660"/>
    <w:rsid w:val="00634810"/>
    <w:rsid w:val="006E4035"/>
    <w:rsid w:val="00800C84"/>
    <w:rsid w:val="008C3AD5"/>
    <w:rsid w:val="008E26AB"/>
    <w:rsid w:val="00910EAB"/>
    <w:rsid w:val="009B01F8"/>
    <w:rsid w:val="00A27D91"/>
    <w:rsid w:val="00AA266F"/>
    <w:rsid w:val="00AD46B1"/>
    <w:rsid w:val="00AE624C"/>
    <w:rsid w:val="00AF67AB"/>
    <w:rsid w:val="00BA5346"/>
    <w:rsid w:val="00BA7B61"/>
    <w:rsid w:val="00BC2A3F"/>
    <w:rsid w:val="00BF6A4C"/>
    <w:rsid w:val="00C13825"/>
    <w:rsid w:val="00C5363F"/>
    <w:rsid w:val="00D831DD"/>
    <w:rsid w:val="00DA59C7"/>
    <w:rsid w:val="00E8470C"/>
    <w:rsid w:val="00ED50C4"/>
    <w:rsid w:val="00F47A61"/>
    <w:rsid w:val="00F9496A"/>
    <w:rsid w:val="00FB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CA8DF"/>
  <w15:chartTrackingRefBased/>
  <w15:docId w15:val="{CD5468C8-927D-754F-9C6E-D42EC3F7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865539">
      <w:bodyDiv w:val="1"/>
      <w:marLeft w:val="0"/>
      <w:marRight w:val="0"/>
      <w:marTop w:val="0"/>
      <w:marBottom w:val="0"/>
      <w:divBdr>
        <w:top w:val="none" w:sz="0" w:space="0" w:color="auto"/>
        <w:left w:val="none" w:sz="0" w:space="0" w:color="auto"/>
        <w:bottom w:val="none" w:sz="0" w:space="0" w:color="auto"/>
        <w:right w:val="none" w:sz="0" w:space="0" w:color="auto"/>
      </w:divBdr>
    </w:div>
    <w:div w:id="1532766242">
      <w:bodyDiv w:val="1"/>
      <w:marLeft w:val="0"/>
      <w:marRight w:val="0"/>
      <w:marTop w:val="0"/>
      <w:marBottom w:val="0"/>
      <w:divBdr>
        <w:top w:val="none" w:sz="0" w:space="0" w:color="auto"/>
        <w:left w:val="none" w:sz="0" w:space="0" w:color="auto"/>
        <w:bottom w:val="none" w:sz="0" w:space="0" w:color="auto"/>
        <w:right w:val="none" w:sz="0" w:space="0" w:color="auto"/>
      </w:divBdr>
    </w:div>
    <w:div w:id="1680691657">
      <w:bodyDiv w:val="1"/>
      <w:marLeft w:val="0"/>
      <w:marRight w:val="0"/>
      <w:marTop w:val="0"/>
      <w:marBottom w:val="0"/>
      <w:divBdr>
        <w:top w:val="none" w:sz="0" w:space="0" w:color="auto"/>
        <w:left w:val="none" w:sz="0" w:space="0" w:color="auto"/>
        <w:bottom w:val="none" w:sz="0" w:space="0" w:color="auto"/>
        <w:right w:val="none" w:sz="0" w:space="0" w:color="auto"/>
      </w:divBdr>
    </w:div>
    <w:div w:id="1818646572">
      <w:bodyDiv w:val="1"/>
      <w:marLeft w:val="0"/>
      <w:marRight w:val="0"/>
      <w:marTop w:val="0"/>
      <w:marBottom w:val="0"/>
      <w:divBdr>
        <w:top w:val="none" w:sz="0" w:space="0" w:color="auto"/>
        <w:left w:val="none" w:sz="0" w:space="0" w:color="auto"/>
        <w:bottom w:val="none" w:sz="0" w:space="0" w:color="auto"/>
        <w:right w:val="none" w:sz="0" w:space="0" w:color="auto"/>
      </w:divBdr>
    </w:div>
    <w:div w:id="18557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Portal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PortalWriting.dotx</Template>
  <TotalTime>146</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21</cp:revision>
  <dcterms:created xsi:type="dcterms:W3CDTF">2021-04-07T19:06:00Z</dcterms:created>
  <dcterms:modified xsi:type="dcterms:W3CDTF">2021-04-08T21:24:00Z</dcterms:modified>
</cp:coreProperties>
</file>