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3F6430FD" w:rsidR="00D22527" w:rsidRDefault="008054E9">
      <w:r>
        <w:t>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(“energy use”)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 (Morlon et al. 2009, Dornelas et al. 2011, Connolly et al. 2005, White et al. 2007). While these currencies are naturally linked (Morlon et al. 2009, Henderson and Magurran 2010), changes in size composition can decouple the dynamics of one currency from another (Ernest et al. 2009, Dornelas et al. 2011, White et al. 2004, 2007, Yen et al. 2017). This can mean that intuition from one currency may be misleading about others; a trend in numerical abundance might mask alternative dynamics occurring with respect to biomass or total energy use (White et al. 2004). Changes in size composition strong enough to decouple currencies may be symptomatic of important changes in ecosystem status- e.g.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27D78BDE" w14:textId="4C3C620E" w:rsidR="00D22527" w:rsidRDefault="008054E9">
      <w:r>
        <w:t>At the community scale, changes in the relationship between size and abundance can signal important shifts in community structure and functional composition. To the extent that size is a proxy for other functional traits, changes or consistency in the community-level size structure (</w:t>
      </w:r>
      <w:r w:rsidR="00C73496">
        <w:t>individual</w:t>
      </w:r>
      <w:r>
        <w:t xml:space="preserve"> size distribution, ISD) over time may reflect processes related to niche structure </w:t>
      </w:r>
      <w:r>
        <w:lastRenderedPageBreak/>
        <w:t xml:space="preserve">(White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Or,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(Holling 1992).</w:t>
      </w:r>
      <w:r w:rsidR="00713F60">
        <w:t xml:space="preserve"> </w:t>
      </w:r>
      <w:r>
        <w:t>In contrast to terrestrial trees and aquatic systems</w:t>
      </w:r>
      <w:r w:rsidR="00961F03">
        <w:t xml:space="preserve">, which have received considerable attention </w:t>
      </w:r>
      <w:r w:rsidR="003A18EB">
        <w:t xml:space="preserve">in this regard </w:t>
      </w:r>
      <w:r>
        <w:t>(Kerr and Dickie 2001, White et al. 2007), the relationship</w:t>
      </w:r>
      <w:r w:rsidR="00275B23">
        <w:t>s</w:t>
      </w:r>
      <w:r>
        <w:t xml:space="preserve"> between </w:t>
      </w:r>
      <w:r w:rsidR="00275B23">
        <w:t xml:space="preserve">community structure, total biomass, and individual abundance </w:t>
      </w:r>
      <w:r>
        <w:t xml:space="preserve">remain relatively unknown for terrestrial animals (but see White et al. (2004)). Terrestrial animal communities exhibit size structure (Thibault et al. 2011, Ernest 2005), and case studies have demonstrated that size shifts can decouple the dynamics of </w:t>
      </w:r>
      <w:r w:rsidR="00A748EE">
        <w:t xml:space="preserve">individual </w:t>
      </w:r>
      <w:r>
        <w:t>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t xml:space="preserve">Macroecological-scale synthesis on the interrelated dynamics of the ISD, total abundance, and community function for terrestrial animals has been constrained by 1) a lack of community-level size and abundance timeseries data for these systems (Thibault et al. 2011, White et al. 2007), </w:t>
      </w:r>
      <w:r>
        <w:lastRenderedPageBreak/>
        <w:t xml:space="preserve">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(with the exception of small mammal studies, which have made major contributions to our understanding of the dynamics of size, abundance, and function for these systems; White et al. 2004, Ernest 2005, Hernández et al. 2011, Kelt et al. 2015). Global, continental, or population-wide studies capture different phenomena (White et al. 2007, McGill et al. 2015). The ISDs for terrestrial animals, and specifically for determinate growing taxa (e.g. mammals, birds), are often complex, multimodal distributions strongly determined by community </w:t>
      </w:r>
      <w:r>
        <w:rPr>
          <w:i/>
        </w:rPr>
        <w:t>species</w:t>
      </w:r>
      <w:r>
        <w:t xml:space="preserve"> composition (Holling 1992, Thibault et al. 2011, Ernest 2005, Yen et al. 2017) and less statistically tractable than the power-law ISDs found in aquatic and tree systems (Kerr and Dickie 2001, White et al. 2007). Quantifying change in the size structure, and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t>
      </w:r>
      <w:r>
        <w:lastRenderedPageBreak/>
        <w:t>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2D34DD91" w:rsidR="00850BD3" w:rsidRPr="00850BD3" w:rsidRDefault="00850BD3" w:rsidP="00850BD3">
      <w:r>
        <w:t xml:space="preserve">Code to replicate these analyses is available online at </w:t>
      </w:r>
      <w:hyperlink r:id="rId8" w:history="1">
        <w:r w:rsidRPr="00C71B87">
          <w:rPr>
            <w:rStyle w:val="Hyperlink"/>
          </w:rPr>
          <w:t>https://github.com/diazrenata/diss-BBSsize</w:t>
        </w:r>
      </w:hyperlink>
      <w:r>
        <w:t xml:space="preserve"> and </w:t>
      </w:r>
      <w:hyperlink r:id="rId9" w:history="1">
        <w:r w:rsidRPr="00C71B87">
          <w:rPr>
            <w:rStyle w:val="Hyperlink"/>
          </w:rPr>
          <w:t>https://github.com/diazrenata/invisible-string</w:t>
        </w:r>
      </w:hyperlink>
      <w:r>
        <w:t xml:space="preserve">. These repositories will be archived on Zenodo upon manuscript acceptance. </w:t>
      </w:r>
    </w:p>
    <w:p w14:paraId="559C3D96" w14:textId="77777777" w:rsidR="00D22527" w:rsidRDefault="008054E9">
      <w:pPr>
        <w:pStyle w:val="Heading2"/>
      </w:pPr>
      <w:bookmarkStart w:id="2" w:name="bird-abundance-data"/>
      <w:r>
        <w:t>Bird abundance data</w:t>
      </w:r>
      <w:bookmarkEnd w:id="2"/>
    </w:p>
    <w:p w14:paraId="65F3898B" w14:textId="573F99A5" w:rsidR="00D22527" w:rsidRDefault="008054E9">
      <w:r>
        <w:t xml:space="preserve">We used data from the Breeding Bird Survey (Pardieck et al. 2019) to evaluate trends in abundance, biomass, and energy use. The Breeding Bird Survey consists of roughly </w:t>
      </w:r>
      <w:r w:rsidR="007E1233">
        <w:t>40 kilometer</w:t>
      </w:r>
      <w:r>
        <w:t xml:space="preserve">-long survey routes distributed throughout the United States and Canada. Routes are surveyed annually during the breeding season (predominately May-June), via 50 3-minute point counts during which all birds seen or heard are identified to species (Pardieck et al. 2019). Sampling began in 1966, and routes have been added over time to a current total of roughly 3000 routes (Pardieck et al. (2019)) We explored trends in abundance, biomass, and energy use over the 30-year time period from 1989-2018. We selected these years to provide a temporal window sufficient to detect </w:t>
      </w:r>
      <w:r w:rsidR="00B15E64">
        <w:t xml:space="preserve">long-term </w:t>
      </w:r>
      <w:r>
        <w:t>trends (Cusser et al. (2020)),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w:t>
      </w:r>
      <w:r>
        <w:lastRenderedPageBreak/>
        <w:t>(Thibault et al. 2011). We filtered the data to remove taxa that are poorly sampled through the</w:t>
      </w:r>
      <w:r w:rsidR="00BB664B">
        <w:t xml:space="preserve"> point-count methods used in the Breeding Bird Survey</w:t>
      </w:r>
      <w:r>
        <w:t>, following Harris et al. (2018). We accessed the data, and performed this preliminary cleaning and filtering, using the R package MATSS (Ye et al. 2020).</w:t>
      </w:r>
    </w:p>
    <w:p w14:paraId="4AF08278" w14:textId="77777777" w:rsidR="00D22527" w:rsidRDefault="008054E9">
      <w:pPr>
        <w:pStyle w:val="Heading2"/>
      </w:pPr>
      <w:bookmarkStart w:id="3" w:name="estimated-size-data"/>
      <w:r>
        <w:t>Estimated size data</w:t>
      </w:r>
      <w:bookmarkEnd w:id="3"/>
    </w:p>
    <w:p w14:paraId="07CA21CB" w14:textId="2579AA0F" w:rsidR="00D22527" w:rsidRDefault="00B4600F">
      <w:r>
        <w:t>The Breeding Bird Survey</w:t>
      </w:r>
      <w:r w:rsidR="008054E9">
        <w:t xml:space="preserve">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 xml:space="preserve">.86; see also Thibault et al. (2011)). For species with multiple records in Dunning (2008),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in a given year, we compute</w:t>
      </w:r>
      <w:r w:rsidR="00B30B75">
        <w:t>d</w:t>
      </w:r>
      <w:r w:rsidR="008054E9">
        <w:t xml:space="preserve"> total energy use, total biomass, and total abundance by summing over all individuals observed on that route in that year. This method does not incorporate intraspecific variation in </w:t>
      </w:r>
      <w:r w:rsidR="008054E9">
        <w:lastRenderedPageBreak/>
        <w:t>body size across geographies or over time (Dunning 2008, Gardner et al. 2011). However, it makes it possible to conduct macroecological studies of avian size distributions at a spatial and temporal scale that would otherwise be impossible (Thibault et al. 2011).</w:t>
      </w:r>
      <w:r w:rsidR="00B2276E">
        <w:t xml:space="preserve"> </w:t>
      </w:r>
      <w:r w:rsidR="0005170F">
        <w:t>An</w:t>
      </w:r>
      <w:r w:rsidR="00B2276E">
        <w:t xml:space="preserve"> R package containing code to generate these size estimates is available</w:t>
      </w:r>
      <w:r w:rsidR="00C80FEC">
        <w:t xml:space="preserve"> at </w:t>
      </w:r>
      <w:hyperlink r:id="rId10" w:history="1">
        <w:r w:rsidR="00C80FEC" w:rsidRPr="00C71B87">
          <w:rPr>
            <w:rStyle w:val="Hyperlink"/>
          </w:rPr>
          <w:t>https://github.com/diazrenata/diss-BBSsize</w:t>
        </w:r>
      </w:hyperlink>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62B2CFE1" w:rsidR="00D22527" w:rsidRDefault="008054E9">
      <w:r>
        <w:t>Comparing trends across different currencies is a nontrivial statistical problem. Because different currencies vary widely in their units of measure (e.g. abundance in the hundreds of individuals; total biomass in the thousands of grams)</w:t>
      </w:r>
      <w:r w:rsidR="007B375E">
        <w:t>, and</w:t>
      </w:r>
      <w:r>
        <w:t xml:space="preserve"> 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77777777" w:rsidR="00D22527" w:rsidRDefault="008054E9">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w:t>
      </w:r>
      <w:r>
        <w:lastRenderedPageBreak/>
        <w:t>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 “abundance-driven” dynamics.</w:t>
      </w:r>
    </w:p>
    <w:p w14:paraId="653E0013" w14:textId="77777777" w:rsidR="00D22527" w:rsidRDefault="008054E9">
      <w:pPr>
        <w:pStyle w:val="Heading2"/>
      </w:pPr>
      <w:bookmarkStart w:id="5" w:name="long-term-trends"/>
      <w:r>
        <w:t>Long-term trends</w:t>
      </w:r>
      <w:bookmarkEnd w:id="5"/>
    </w:p>
    <w:p w14:paraId="1695B332" w14:textId="6699D019" w:rsidR="00D22527" w:rsidRDefault="008054E9">
      <w:r>
        <w:t xml:space="preserve">For each route, we evaluated the 30-year trend in biomass (or energy use) and compared this to the trend derived from the “abundance-driven” null model using generalized linear models with a Gamma family and log link (appropriate for strictly-positive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w:t>
      </w:r>
      <w:r>
        <w:lastRenderedPageBreak/>
        <w:t xml:space="preserve">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This model fits a temporal trend, but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AICc. In instances where multiple models had AICc scores within two AICc units of the best-fitting model, we selected the simplest model within two </w:t>
      </w:r>
      <w:r w:rsidR="00E94A81">
        <w:t xml:space="preserve">AICc </w:t>
      </w:r>
      <w:r>
        <w:t>units of the best score.</w:t>
      </w:r>
    </w:p>
    <w:p w14:paraId="28DE5DBB" w14:textId="484608E7" w:rsidR="00D22527" w:rsidRDefault="00BC125F">
      <w:r>
        <w:t xml:space="preserve">We used the model </w:t>
      </w:r>
      <w:r w:rsidR="00DD68C2">
        <w:t>predictions</w:t>
      </w:r>
      <w:r>
        <w:t xml:space="preserve"> </w:t>
      </w:r>
      <w:r w:rsidR="00852403">
        <w:t>from</w:t>
      </w:r>
      <w:r>
        <w:t xml:space="preserve"> each route’s best-fitting model to characterize the direction and slope of each route’s long term trends for abundance-driven (null) and biomass- or energy </w:t>
      </w:r>
      <w:r>
        <w:lastRenderedPageBreak/>
        <w:t>use-driven (observed) dynamics</w:t>
      </w:r>
      <w:r w:rsidR="00DD68C2">
        <w:t>. For each route’s best-fitting model, w</w:t>
      </w:r>
      <w:r w:rsidR="008054E9">
        <w:t>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14:paraId="75BE8687" w14:textId="77777777" w:rsidR="00D22527" w:rsidRDefault="008054E9">
      <w:pPr>
        <w:pStyle w:val="Heading2"/>
      </w:pPr>
      <w:bookmarkStart w:id="6" w:name="X31dc718cb093ddf8a408c15748922003f5cf579"/>
      <w:r>
        <w:t>Relating change in community structure to decoupling between abundance and size-based dynamics</w:t>
      </w:r>
      <w:bookmarkEnd w:id="6"/>
    </w:p>
    <w:p w14:paraId="293BE0B5" w14:textId="7A93E356" w:rsidR="00D22527" w:rsidRDefault="00E742EC">
      <w:r>
        <w:t>We used</w:t>
      </w:r>
      <w:r w:rsidR="008054E9">
        <w:t xml:space="preserve"> dissimilarity metrics </w:t>
      </w:r>
      <w:r>
        <w:t>to</w:t>
      </w:r>
      <w:r w:rsidR="00D872B2">
        <w:t xml:space="preserve"> explore the extent to which change in community structure propagates to decoupling between long-term trends in individual</w:t>
      </w:r>
      <w:r w:rsidR="000457C3">
        <w:t xml:space="preserve"> abundance and total biomass and energy use</w:t>
      </w:r>
      <w:r>
        <w:t>. These</w:t>
      </w:r>
      <w:r w:rsidR="00773D83">
        <w:t xml:space="preserve"> dissimlilarity</w:t>
      </w:r>
      <w:r>
        <w:t xml:space="preserve"> metrics </w:t>
      </w:r>
      <w:r w:rsidR="008054E9">
        <w:t xml:space="preserve">are most readily interpretable when making pairwise comparisons (as opposed to repeated </w:t>
      </w:r>
      <w:r w:rsidR="00B020F3">
        <w:t>comparisons</w:t>
      </w:r>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7984E335" w:rsidR="00D22527" w:rsidRDefault="00D064A4">
      <m:oMathPara>
        <m:oMath>
          <m:r>
            <m:rPr>
              <m:nor/>
            </m:rPr>
            <w:rPr>
              <w:rFonts w:ascii="Cambria Math"/>
            </w:rPr>
            <w:lastRenderedPageBreak/>
            <m:t>absolute_log_ratio = abs(</m:t>
          </m:r>
          <m:r>
            <m:rPr>
              <m:nor/>
            </m:rPr>
            <m:t>l</m:t>
          </m:r>
          <m:r>
            <m:rPr>
              <m:nor/>
            </m:rPr>
            <w:rPr>
              <w:rFonts w:asci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0096FD4E"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w:t>
      </w:r>
      <w:r w:rsidR="008C4C24">
        <w:t xml:space="preserve">We used the absolute log ratio </w:t>
      </w:r>
      <w:r w:rsidR="00F06C80">
        <w:t xml:space="preserve">in order </w:t>
      </w:r>
      <w:r w:rsidR="008C4C24">
        <w:t xml:space="preserve">to focus on the magnitude, rather than the direction, of change in body size (see also Supp and Ernest (2014) for the use of the absolute log ratio to examine the magnitudes of differences between values). </w:t>
      </w:r>
      <w:r>
        <w:t xml:space="preserve">Large changes in </w:t>
      </w:r>
      <w:r w:rsidR="00951F32">
        <w:t xml:space="preserve">community-wide </w:t>
      </w:r>
      <w:r>
        <w:t>average body size are, by definition, expected to translate into decoupling between observed and abundance-driven dynamics.</w:t>
      </w:r>
    </w:p>
    <w:p w14:paraId="556F48BC" w14:textId="7E126A52" w:rsidR="00A56AE5" w:rsidRDefault="008054E9">
      <w:r>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r>
        <w:rPr>
          <w:i/>
        </w:rPr>
        <w:t>Selasphorus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lastRenderedPageBreak/>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 xml:space="preserve">To evaluate turnover in species composition between the five-year time periods, we calculated Bray-Curtis dissimilarity between the two communities using the R package </w:t>
      </w:r>
      <w:r w:rsidRPr="00D97B95">
        <w:rPr>
          <w:i/>
          <w:iCs/>
        </w:rPr>
        <w:t>vegan</w:t>
      </w:r>
      <w:r>
        <w:t xml:space="preserve"> (Pinheiro et al. 2020).</w:t>
      </w:r>
    </w:p>
    <w:p w14:paraId="3B13B0B2" w14:textId="4BCF36AE"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i.e. “Decoupled trends”, “Coupled trends”, or “No directional change” –</w:t>
      </w:r>
      <w:r>
        <w:t xml:space="preserve"> differed in 1) the 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absolute_log_ratio </w:t>
      </w:r>
      <w:r w:rsidRPr="00A56AE5">
        <w:rPr>
          <w:i/>
          <w:iCs/>
        </w:rPr>
        <w:t xml:space="preserve"> ~ </w:t>
      </w:r>
      <w:r w:rsidR="00BF2189">
        <w:rPr>
          <w:i/>
          <w:iCs/>
        </w:rPr>
        <w:t>syndrome.</w:t>
      </w:r>
      <w:r>
        <w:t xml:space="preserve"> We compared this model to an intercept-only null model of the form </w:t>
      </w:r>
      <w:r w:rsidR="00832F88">
        <w:rPr>
          <w:i/>
          <w:iCs/>
        </w:rPr>
        <w:t>absolute_l</w:t>
      </w:r>
      <w:r w:rsidR="00A546E4">
        <w:rPr>
          <w:i/>
          <w:iCs/>
        </w:rPr>
        <w:t>og_ratio</w:t>
      </w:r>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r w:rsidR="00F13A51">
        <w:rPr>
          <w:i/>
          <w:iCs/>
        </w:rPr>
        <w:t>ISD_turnover ~ syndrome</w:t>
      </w:r>
      <w:r>
        <w:t xml:space="preserve"> and </w:t>
      </w:r>
      <w:r w:rsidR="00F13A51">
        <w:rPr>
          <w:i/>
        </w:rPr>
        <w:t>Bray_Curtis_dissimilarity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r w:rsidRPr="0047676A">
        <w:rPr>
          <w:i/>
          <w:iCs/>
        </w:rPr>
        <w:t>emmeans</w:t>
      </w:r>
      <w:r>
        <w:t xml:space="preserve"> (Lenth 2021).</w:t>
      </w:r>
    </w:p>
    <w:p w14:paraId="7D6E7F7E" w14:textId="77777777" w:rsidR="00D22527" w:rsidRDefault="008054E9">
      <w:pPr>
        <w:pStyle w:val="Heading1"/>
      </w:pPr>
      <w:bookmarkStart w:id="7" w:name="results"/>
      <w:r>
        <w:t>Results</w:t>
      </w:r>
      <w:bookmarkEnd w:id="7"/>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w:t>
      </w:r>
      <w:r>
        <w:lastRenderedPageBreak/>
        <w:t>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 xml:space="preserve">decoupled trends over time had a higher absolute log ratio of mean mass (i.e. greater magnitude of change, either increasing or decreasing, in mean mass over time) than routes with coupled or no </w:t>
      </w:r>
      <w:r w:rsidR="00082D42">
        <w:t xml:space="preserve">directional </w:t>
      </w:r>
      <w:r>
        <w:t>trends (</w:t>
      </w:r>
      <w:r w:rsidR="009A1801">
        <w:t xml:space="preserve">Figure </w:t>
      </w:r>
      <w:r w:rsidR="009A1801">
        <w:lastRenderedPageBreak/>
        <w:t xml:space="preserve">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31E22B36" w:rsidR="00D22527" w:rsidRDefault="008054E9">
      <w:r>
        <w:t xml:space="preserve">Simultaneously examining multiple currencies of community-level abundance revealed qualitatively different continent-wide patterns in the long-term trends </w:t>
      </w:r>
      <w:r w:rsidR="00F96E6D">
        <w:t xml:space="preserve">for the number of </w:t>
      </w:r>
      <w:r>
        <w:t xml:space="preserve">individuals, </w:t>
      </w:r>
      <w:r w:rsidR="001C31BE">
        <w:t xml:space="preserve">total </w:t>
      </w:r>
      <w:r>
        <w:t xml:space="preserve">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(e.g.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Valen 1973, Ernest et al. 2009, 2008, Morlon et al. 2009, White et al. 2004). Our results underscore that, while trends in abundance, biomass, and energy use naturally co-vary to some extent, shifts in the community size structure </w:t>
      </w:r>
      <w:r>
        <w:lastRenderedPageBreak/>
        <w:t>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2AA98273" w14:textId="5D697553" w:rsidR="00D22527" w:rsidRDefault="008054E9">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w:t>
      </w:r>
      <w:r w:rsidR="00935A50">
        <w:t xml:space="preserve">biomass </w:t>
      </w:r>
      <w:r>
        <w:t xml:space="preserve">against declines in </w:t>
      </w:r>
      <w:r w:rsidR="007223F2">
        <w:t>the overall number of individuals</w:t>
      </w:r>
      <w:r>
        <w:t>. This contrasts with general, global concerns that larger-bodied species are more vulnerable to extinction and population declines than smaller ones (Young et al. 2016, Dirzo et al. 2014, Smith et al. 2018). However, it is consistent with previous findings from the Breeding Bird Survey (Schipper et al. 2016). The long-term trends for communities of different taxonomic groups, geographies, or temporal spans may show different effects related to different facets of global change and biodiversity responses.</w:t>
      </w:r>
      <w:r w:rsidR="004E7616">
        <w:t xml:space="preserve"> </w:t>
      </w:r>
      <w:r>
        <w:t xml:space="preserve">We </w:t>
      </w:r>
      <w:r w:rsidR="004E7616">
        <w:t xml:space="preserve">also </w:t>
      </w:r>
      <w:r>
        <w:t xml:space="preserve">note that these increases in body size do not generally appear great enough to decouple </w:t>
      </w:r>
      <w:r>
        <w:lastRenderedPageBreak/>
        <w:t xml:space="preserve">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12F95617" w:rsidR="00D22527" w:rsidRDefault="008054E9">
      <w:r>
        <w:t xml:space="preserve">For many communities, therefore, there has been appreciable change in the species and size composition that does not manifest in a shift in the overall community-wide mean body size or mean metabolic rate sufficient to decouple the dynamics of biomass, abundance, and energy use. </w:t>
      </w:r>
      <w:r>
        <w:lastRenderedPageBreak/>
        <w:t>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hyperlink r:id="rId11" w:history="1">
        <w:r w:rsidR="007D10F2" w:rsidRPr="00C71B87">
          <w:rPr>
            <w:rStyle w:val="Hyperlink"/>
          </w:rPr>
          <w:t>https://github.com/diazrenata/diss-BBSsize</w:t>
        </w:r>
      </w:hyperlink>
      <w:r w:rsidR="007D10F2">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w:t>
      </w:r>
      <w:r>
        <w:lastRenderedPageBreak/>
        <w:t>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r>
        <w:t>Cusser, S., C. Bahlai,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r>
        <w:t>Dirzo, R., H. S. Young, M. Galetti, G. Ceballos, N. J. B. Isaac, and B. Collen. 2014. Defaunation in the Anthropocene. Science 345:401–406.</w:t>
      </w:r>
    </w:p>
    <w:p w14:paraId="090AC962" w14:textId="77777777" w:rsidR="00D22527" w:rsidRDefault="008054E9">
      <w:bookmarkStart w:id="19" w:name="ref-dornelas2011"/>
      <w:bookmarkEnd w:id="18"/>
      <w:r>
        <w:t>Dornelas, M., D. A. T. Phillip, and A. E. Magurran.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Ernest, S. K. M., J. H. Brown, K. M. Thibault, E. P. White, and J. R. Goheen. 2008. Zero Sum, the Niche, and Metacommunities: Long-Term Dynamics of Community Assembly. The American Naturalist 172:E257–E269.</w:t>
      </w:r>
    </w:p>
    <w:p w14:paraId="4FAF255B" w14:textId="77777777" w:rsidR="00D22527" w:rsidRDefault="008054E9">
      <w:bookmarkStart w:id="23" w:name="ref-ernest2009"/>
      <w:bookmarkEnd w:id="22"/>
      <w:r>
        <w:t>Ernest, S. K. M., E. P. White, and J. H. Brown. 2009. Changes in a tropical forest support metabolic zero-sum dynamics. Ecology Letters 12:507–515.</w:t>
      </w:r>
    </w:p>
    <w:p w14:paraId="0D38E1C3" w14:textId="77777777" w:rsidR="00D22527" w:rsidRDefault="008054E9">
      <w:bookmarkStart w:id="24" w:name="ref-fisher2010"/>
      <w:bookmarkEnd w:id="23"/>
      <w:r>
        <w:lastRenderedPageBreak/>
        <w:t>Fisher, J. A. D., K. T. Frank, and W. C. Leggett. 2010. Dynamic macroecology on ecological time-scales.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Harris, D. J., S. D. Taylor, and E. P. White. 2018. Forecasting biodiversity in breeding birds using best practices. PeerJ 6:e4278.</w:t>
      </w:r>
    </w:p>
    <w:p w14:paraId="617DC7D8" w14:textId="77777777" w:rsidR="00D22527" w:rsidRDefault="008054E9">
      <w:bookmarkStart w:id="28" w:name="ref-henderson2010"/>
      <w:bookmarkEnd w:id="27"/>
      <w:r>
        <w:t>Henderson, P. A., and A. E. Magurran.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Hernández, L., J. W. Laundré, A. González-Romero, J. López-Portillo, and K. M. Grajales. 2011. Tale of two metrics: Density and biomass in a desert rodent community. Journal of Mammalogy 92:840–851.</w:t>
      </w:r>
    </w:p>
    <w:p w14:paraId="11965E78" w14:textId="77777777" w:rsidR="00D22527" w:rsidRDefault="008054E9">
      <w:bookmarkStart w:id="30" w:name="ref-holling1992"/>
      <w:bookmarkEnd w:id="29"/>
      <w:r>
        <w:t>Holling,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r>
        <w:t>Kelt, D. A., J. R. Aliperti, P. L. Meserve, W. B. Milstead, M. A. Previtali,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r>
        <w:t>Lenth, R. V. 2021. Emmeans: Estimated Marginal Means, aka Least-Squares Means.</w:t>
      </w:r>
    </w:p>
    <w:p w14:paraId="735A0BC8" w14:textId="77777777" w:rsidR="00D22527" w:rsidRDefault="008054E9">
      <w:bookmarkStart w:id="35" w:name="ref-mcgill2015"/>
      <w:bookmarkEnd w:id="34"/>
      <w:r>
        <w:t>McGill, B. J., M. Dornelas, N. J. Gotelli, and A. E. Magurran.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Morlon, H., E. P. White, R. S. Etienne, J. L. Green, A. Ostling, D. Alonso, B. J. Enquist, F. He, A. Hurlbert, A. E. Magurran, B. A. Maurer, B. J. McGill, H. Olff, D. Storch, and T. Zillio.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r>
        <w:t>Pardieck, K. L., D. J. Ziolkowski, M. Lutmerding,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Pinheiro, J., D. Bates, S. DebRoy, D. Sarkar, and R Core Team. 2020. Nlme: Linear and Nonlinear Mixed Effects Models.</w:t>
      </w:r>
    </w:p>
    <w:p w14:paraId="723092D7" w14:textId="77777777" w:rsidR="00D22527" w:rsidRDefault="008054E9">
      <w:bookmarkStart w:id="42" w:name="ref-read2018"/>
      <w:bookmarkEnd w:id="41"/>
      <w:r>
        <w:t>Read, Q. D., J. M. Grady, P. L. Zarnetske, S. Record, B. Baiser, J. Belmaker, M.-N. Tuanmu, A. Strecker, L. Beaudrot, and K. M. Thibault. 2018. Among-species overlap in rodent body size distributions predicts species richness along a temperature gradient. Ecography 41:1718–1727.</w:t>
      </w:r>
    </w:p>
    <w:p w14:paraId="4C7E42E8" w14:textId="77777777" w:rsidR="00D22527" w:rsidRDefault="008054E9">
      <w:bookmarkStart w:id="43" w:name="ref-schipper2016"/>
      <w:bookmarkEnd w:id="42"/>
      <w:r>
        <w:lastRenderedPageBreak/>
        <w:t>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Schmitz, O. J., C. C. Wilmers, S. J. Leroux, C. E. Doughty, T. B. Atwood, M. Galetti, A. B. Davies, and S. J. Goetz. 2018. Animals and the zoogeochemistry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Thibault, K. M., E. P. White, A. H. Hurlbert,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Van Valen,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White, E. P. 2004. Two-phase speciesTime relationships in North American land birds. Ecology Letters 7:329–336.</w:t>
      </w:r>
    </w:p>
    <w:p w14:paraId="6550370D" w14:textId="77777777" w:rsidR="00D22527" w:rsidRDefault="008054E9">
      <w:bookmarkStart w:id="52" w:name="ref-white2007"/>
      <w:bookmarkEnd w:id="51"/>
      <w:r>
        <w:t>White, E. P., S. K. M. Ernest, A. J. Kerkhoff, and B. J. Enquist.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Ye, H., E. K. Bledsoe, R. Diaz, S. K. M. Ernest, J. L. Simonis, E. P. White, and G. M. Yenni. 2020, May. Macroecological Analyses of Time Series Structure. Zenodo.</w:t>
      </w:r>
    </w:p>
    <w:p w14:paraId="2BAB5054" w14:textId="77777777" w:rsidR="00D22527" w:rsidRDefault="008054E9">
      <w:bookmarkStart w:id="55" w:name="ref-yen2017"/>
      <w:bookmarkEnd w:id="54"/>
      <w:r>
        <w:t>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Young, H. S., D. J. McCauley, M. Galetti, and R. Dirzo.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7" w:name="figure-1."/>
      <w:r w:rsidRPr="00DF4FB8">
        <w:rPr>
          <w:b/>
          <w:bCs/>
        </w:rPr>
        <w:t>Figure 1.</w:t>
      </w:r>
      <w:bookmarkEnd w:id="57"/>
      <w:r w:rsidR="00DF4FB8">
        <w:rPr>
          <w:b/>
          <w:bCs/>
        </w:rPr>
        <w:t xml:space="preserve"> </w:t>
      </w:r>
      <w:r>
        <w:t xml:space="preserve">Illustration of abundance-driven (null model) dynamics as compared to observed dynamics (A), and the underlying dynamics of the ISD (B) for a sample route (Lindbrook,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r w:rsidRPr="00C925F6">
        <w:rPr>
          <w:i/>
          <w:iCs/>
        </w:rPr>
        <w:t>total_biomass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 xml:space="preserve">p = </w:t>
      </w:r>
      <w:r w:rsidRPr="0087578D">
        <w:t>0</w:t>
      </w:r>
      <w:r w:rsidRPr="003907A5">
        <w:rPr>
          <w:i/>
          <w:iCs/>
        </w:rPr>
        <w:t>.</w:t>
      </w:r>
      <w:r w:rsidRPr="0087578D">
        <w:t>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body sizes results in an overall increase in body size community wide, which partially offsets declines in total biomass from those expected given change in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58"/>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59" w:name="X789e5a960792e8dde223201740b01f26d2f25ba"/>
    </w:p>
    <w:p w14:paraId="427772BC" w14:textId="77777777" w:rsidR="005E588B" w:rsidRDefault="005E588B">
      <w:pPr>
        <w:spacing w:before="0" w:after="0" w:line="276" w:lineRule="auto"/>
      </w:pPr>
      <w:r>
        <w:br w:type="page"/>
      </w:r>
    </w:p>
    <w:p w14:paraId="77A125F2" w14:textId="66D56480"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7A3320">
        <w:t>the number of individuals</w:t>
      </w:r>
      <w:r>
        <w:t xml:space="preserve"> (ratio of last fitted value to first fitted value</w:t>
      </w:r>
      <w:r w:rsidR="00A45688">
        <w:t xml:space="preserve"> from the null model dynamics</w:t>
      </w:r>
      <w:r>
        <w:t>,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w:t>
      </w:r>
      <w:r w:rsidR="00666E6E">
        <w:t xml:space="preserve">or </w:t>
      </w:r>
      <w:r w:rsidR="00666E6E">
        <w:rPr>
          <w:i/>
          <w:iCs/>
        </w:rPr>
        <w:t>energy use</w:t>
      </w:r>
      <w:r w:rsidR="00666E6E" w:rsidRPr="00BA1EE2">
        <w:rPr>
          <w:i/>
          <w:iCs/>
        </w:rPr>
        <w:t xml:space="preserve"> ~ year * dynamics</w:t>
      </w:r>
      <w:r w:rsidR="00666E6E">
        <w:t xml:space="preserve"> </w:t>
      </w:r>
      <w:r>
        <w:t>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Bray-Curtis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2 </w:t>
      </w:r>
      <w:r w:rsidR="00D93A56">
        <w:t xml:space="preserve"> Tables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22173592"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or a model with decoupled temporal trends for observed and abundance-driven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abundance-driven dynamics).</w:t>
      </w:r>
    </w:p>
    <w:p w14:paraId="79548A2D" w14:textId="77777777" w:rsidR="00C55764" w:rsidRDefault="00C55764" w:rsidP="00C55764">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77777777" w:rsidR="00AD212F" w:rsidRDefault="00AD212F" w:rsidP="00941703">
            <w:pPr>
              <w:jc w:val="right"/>
            </w:pPr>
            <w:r>
              <w:t>Proportion of increasing abundance-driven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2E31BE5E"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abundance-driven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77777777" w:rsidR="00AD212F" w:rsidRDefault="00AD212F" w:rsidP="00AD212F">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700179AA" w14:textId="77777777" w:rsidR="00AD212F" w:rsidRPr="008F4DA0" w:rsidRDefault="00AD212F" w:rsidP="003C7803">
      <w:pPr>
        <w:spacing w:before="0" w:after="0" w:line="276" w:lineRule="auto"/>
        <w:rPr>
          <w:b/>
          <w:bCs/>
        </w:rPr>
      </w:pPr>
    </w:p>
    <w:sectPr w:rsidR="00AD212F" w:rsidRPr="008F4DA0" w:rsidSect="00570AB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0013" w14:textId="77777777" w:rsidR="0042407F" w:rsidRDefault="0042407F">
      <w:pPr>
        <w:spacing w:before="0" w:after="0" w:line="240" w:lineRule="auto"/>
      </w:pPr>
      <w:r>
        <w:separator/>
      </w:r>
    </w:p>
  </w:endnote>
  <w:endnote w:type="continuationSeparator" w:id="0">
    <w:p w14:paraId="11438910" w14:textId="77777777" w:rsidR="0042407F" w:rsidRDefault="004240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105D" w14:textId="77777777" w:rsidR="0042407F" w:rsidRDefault="0042407F">
      <w:r>
        <w:separator/>
      </w:r>
    </w:p>
  </w:footnote>
  <w:footnote w:type="continuationSeparator" w:id="0">
    <w:p w14:paraId="153D5658" w14:textId="77777777" w:rsidR="0042407F" w:rsidRDefault="0042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43E"/>
    <w:rsid w:val="00015D64"/>
    <w:rsid w:val="00025336"/>
    <w:rsid w:val="0003057A"/>
    <w:rsid w:val="000457C3"/>
    <w:rsid w:val="0005170F"/>
    <w:rsid w:val="00082D42"/>
    <w:rsid w:val="00097D4F"/>
    <w:rsid w:val="000A012D"/>
    <w:rsid w:val="000A447D"/>
    <w:rsid w:val="000A66BB"/>
    <w:rsid w:val="000B3B8E"/>
    <w:rsid w:val="000D564B"/>
    <w:rsid w:val="00100956"/>
    <w:rsid w:val="0010562F"/>
    <w:rsid w:val="00126807"/>
    <w:rsid w:val="00133F19"/>
    <w:rsid w:val="001561E7"/>
    <w:rsid w:val="00176A09"/>
    <w:rsid w:val="00184CB6"/>
    <w:rsid w:val="001A558D"/>
    <w:rsid w:val="001A6C2F"/>
    <w:rsid w:val="001C2CE1"/>
    <w:rsid w:val="001C31BE"/>
    <w:rsid w:val="001D4FDB"/>
    <w:rsid w:val="001F19D2"/>
    <w:rsid w:val="001F47AF"/>
    <w:rsid w:val="002062F8"/>
    <w:rsid w:val="00206BD4"/>
    <w:rsid w:val="00207E3A"/>
    <w:rsid w:val="00236B4A"/>
    <w:rsid w:val="002372D7"/>
    <w:rsid w:val="00237A48"/>
    <w:rsid w:val="00273F00"/>
    <w:rsid w:val="00275B23"/>
    <w:rsid w:val="00280635"/>
    <w:rsid w:val="00280C09"/>
    <w:rsid w:val="00292506"/>
    <w:rsid w:val="002A25C2"/>
    <w:rsid w:val="002E4EFB"/>
    <w:rsid w:val="002F5A59"/>
    <w:rsid w:val="00322DD9"/>
    <w:rsid w:val="00322E88"/>
    <w:rsid w:val="003907A5"/>
    <w:rsid w:val="003A18EB"/>
    <w:rsid w:val="003A3EDF"/>
    <w:rsid w:val="003C44D3"/>
    <w:rsid w:val="003C643E"/>
    <w:rsid w:val="003C7803"/>
    <w:rsid w:val="003D1A25"/>
    <w:rsid w:val="003D7B60"/>
    <w:rsid w:val="003E39A2"/>
    <w:rsid w:val="003F1C3D"/>
    <w:rsid w:val="003F1DBB"/>
    <w:rsid w:val="003F6C35"/>
    <w:rsid w:val="00405D39"/>
    <w:rsid w:val="00420AF8"/>
    <w:rsid w:val="0042407F"/>
    <w:rsid w:val="0044445D"/>
    <w:rsid w:val="0047676A"/>
    <w:rsid w:val="00480C20"/>
    <w:rsid w:val="00495002"/>
    <w:rsid w:val="004C5114"/>
    <w:rsid w:val="004C62D6"/>
    <w:rsid w:val="004E29B3"/>
    <w:rsid w:val="004E7616"/>
    <w:rsid w:val="004F6D55"/>
    <w:rsid w:val="00512158"/>
    <w:rsid w:val="005249CC"/>
    <w:rsid w:val="00530880"/>
    <w:rsid w:val="00555C41"/>
    <w:rsid w:val="00570AB4"/>
    <w:rsid w:val="00573514"/>
    <w:rsid w:val="00585974"/>
    <w:rsid w:val="00590D07"/>
    <w:rsid w:val="00591A16"/>
    <w:rsid w:val="00595B42"/>
    <w:rsid w:val="005A3453"/>
    <w:rsid w:val="005A58A4"/>
    <w:rsid w:val="005B4850"/>
    <w:rsid w:val="005C3594"/>
    <w:rsid w:val="005D0906"/>
    <w:rsid w:val="005D459B"/>
    <w:rsid w:val="005D7E98"/>
    <w:rsid w:val="005E588B"/>
    <w:rsid w:val="005F2DA8"/>
    <w:rsid w:val="005F41CF"/>
    <w:rsid w:val="00604935"/>
    <w:rsid w:val="00615D30"/>
    <w:rsid w:val="00631136"/>
    <w:rsid w:val="006354A3"/>
    <w:rsid w:val="00641C58"/>
    <w:rsid w:val="00665680"/>
    <w:rsid w:val="00666E6E"/>
    <w:rsid w:val="00677C2B"/>
    <w:rsid w:val="006D517B"/>
    <w:rsid w:val="006D7AF8"/>
    <w:rsid w:val="006E03DA"/>
    <w:rsid w:val="006E1610"/>
    <w:rsid w:val="00704788"/>
    <w:rsid w:val="00713F60"/>
    <w:rsid w:val="007223F2"/>
    <w:rsid w:val="00723962"/>
    <w:rsid w:val="00731C2B"/>
    <w:rsid w:val="0073201D"/>
    <w:rsid w:val="00744981"/>
    <w:rsid w:val="0075097F"/>
    <w:rsid w:val="00764C02"/>
    <w:rsid w:val="00771805"/>
    <w:rsid w:val="00773D83"/>
    <w:rsid w:val="007778BC"/>
    <w:rsid w:val="00777F9F"/>
    <w:rsid w:val="00784D58"/>
    <w:rsid w:val="007932FC"/>
    <w:rsid w:val="00793A57"/>
    <w:rsid w:val="007A3320"/>
    <w:rsid w:val="007B375E"/>
    <w:rsid w:val="007D10F2"/>
    <w:rsid w:val="007E1233"/>
    <w:rsid w:val="007F0422"/>
    <w:rsid w:val="008054E9"/>
    <w:rsid w:val="0080587E"/>
    <w:rsid w:val="00832A83"/>
    <w:rsid w:val="00832F88"/>
    <w:rsid w:val="00850BD3"/>
    <w:rsid w:val="00852403"/>
    <w:rsid w:val="00867FDA"/>
    <w:rsid w:val="0087578D"/>
    <w:rsid w:val="0088282B"/>
    <w:rsid w:val="008851F0"/>
    <w:rsid w:val="008B0E47"/>
    <w:rsid w:val="008B37C0"/>
    <w:rsid w:val="008C4C24"/>
    <w:rsid w:val="008D3861"/>
    <w:rsid w:val="008D6863"/>
    <w:rsid w:val="008E6955"/>
    <w:rsid w:val="008F4DA0"/>
    <w:rsid w:val="009040CC"/>
    <w:rsid w:val="00914F90"/>
    <w:rsid w:val="00926218"/>
    <w:rsid w:val="00933D9C"/>
    <w:rsid w:val="00935A50"/>
    <w:rsid w:val="00937E41"/>
    <w:rsid w:val="00951F32"/>
    <w:rsid w:val="00961F03"/>
    <w:rsid w:val="009A1801"/>
    <w:rsid w:val="009B5547"/>
    <w:rsid w:val="009D4247"/>
    <w:rsid w:val="009E234D"/>
    <w:rsid w:val="009F393B"/>
    <w:rsid w:val="009F7F9F"/>
    <w:rsid w:val="00A0169A"/>
    <w:rsid w:val="00A0696C"/>
    <w:rsid w:val="00A12D5F"/>
    <w:rsid w:val="00A14BE6"/>
    <w:rsid w:val="00A24971"/>
    <w:rsid w:val="00A26421"/>
    <w:rsid w:val="00A32721"/>
    <w:rsid w:val="00A45688"/>
    <w:rsid w:val="00A546E4"/>
    <w:rsid w:val="00A56AE5"/>
    <w:rsid w:val="00A748EE"/>
    <w:rsid w:val="00A751DB"/>
    <w:rsid w:val="00A75EF0"/>
    <w:rsid w:val="00AC2E90"/>
    <w:rsid w:val="00AC6F69"/>
    <w:rsid w:val="00AD1CD8"/>
    <w:rsid w:val="00AD212F"/>
    <w:rsid w:val="00AD6285"/>
    <w:rsid w:val="00AD673D"/>
    <w:rsid w:val="00AF4A68"/>
    <w:rsid w:val="00B020AA"/>
    <w:rsid w:val="00B020F3"/>
    <w:rsid w:val="00B15E64"/>
    <w:rsid w:val="00B209BE"/>
    <w:rsid w:val="00B2276E"/>
    <w:rsid w:val="00B22CF3"/>
    <w:rsid w:val="00B257E8"/>
    <w:rsid w:val="00B279C4"/>
    <w:rsid w:val="00B30B75"/>
    <w:rsid w:val="00B3118B"/>
    <w:rsid w:val="00B42886"/>
    <w:rsid w:val="00B4600F"/>
    <w:rsid w:val="00B6501F"/>
    <w:rsid w:val="00B86B75"/>
    <w:rsid w:val="00BA1EE2"/>
    <w:rsid w:val="00BB664B"/>
    <w:rsid w:val="00BC125F"/>
    <w:rsid w:val="00BC48D5"/>
    <w:rsid w:val="00BE14BB"/>
    <w:rsid w:val="00BE192D"/>
    <w:rsid w:val="00BF0389"/>
    <w:rsid w:val="00BF2189"/>
    <w:rsid w:val="00C005EC"/>
    <w:rsid w:val="00C07212"/>
    <w:rsid w:val="00C1182A"/>
    <w:rsid w:val="00C3460F"/>
    <w:rsid w:val="00C36279"/>
    <w:rsid w:val="00C55764"/>
    <w:rsid w:val="00C5742A"/>
    <w:rsid w:val="00C66C91"/>
    <w:rsid w:val="00C73496"/>
    <w:rsid w:val="00C73855"/>
    <w:rsid w:val="00C80FEC"/>
    <w:rsid w:val="00C95BD5"/>
    <w:rsid w:val="00CA2122"/>
    <w:rsid w:val="00CA3B60"/>
    <w:rsid w:val="00CA6AD5"/>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B5257"/>
    <w:rsid w:val="00DC3696"/>
    <w:rsid w:val="00DD68C2"/>
    <w:rsid w:val="00DD78DF"/>
    <w:rsid w:val="00DF4FB8"/>
    <w:rsid w:val="00DF5B16"/>
    <w:rsid w:val="00E0069B"/>
    <w:rsid w:val="00E01A9C"/>
    <w:rsid w:val="00E204BB"/>
    <w:rsid w:val="00E315A3"/>
    <w:rsid w:val="00E468AE"/>
    <w:rsid w:val="00E742EC"/>
    <w:rsid w:val="00E94A81"/>
    <w:rsid w:val="00E96978"/>
    <w:rsid w:val="00EA1974"/>
    <w:rsid w:val="00EC5BD8"/>
    <w:rsid w:val="00EC5E20"/>
    <w:rsid w:val="00ED0831"/>
    <w:rsid w:val="00EE37B4"/>
    <w:rsid w:val="00EE4BDF"/>
    <w:rsid w:val="00EF1E28"/>
    <w:rsid w:val="00EF4D40"/>
    <w:rsid w:val="00F06C80"/>
    <w:rsid w:val="00F10956"/>
    <w:rsid w:val="00F13A51"/>
    <w:rsid w:val="00F379E0"/>
    <w:rsid w:val="00F405B4"/>
    <w:rsid w:val="00F452F3"/>
    <w:rsid w:val="00F60001"/>
    <w:rsid w:val="00F769F7"/>
    <w:rsid w:val="00F9623C"/>
    <w:rsid w:val="00F96E6D"/>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LineNumber">
    <w:name w:val="line number"/>
    <w:basedOn w:val="DefaultParagraphFont"/>
    <w:uiPriority w:val="99"/>
    <w:semiHidden/>
    <w:unhideWhenUsed/>
    <w:rsid w:val="0057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azrenata/diss-BBSsiz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diss-BBSsiz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diazrenata/diss-BBSsize" TargetMode="External"/><Relationship Id="rId4" Type="http://schemas.openxmlformats.org/officeDocument/2006/relationships/webSettings" Target="webSettings.xml"/><Relationship Id="rId9" Type="http://schemas.openxmlformats.org/officeDocument/2006/relationships/hyperlink" Target="https://github.com/diazrenata/invisible-st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7422</Words>
  <Characters>42312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40</cp:revision>
  <cp:lastPrinted>2022-03-07T20:17:00Z</cp:lastPrinted>
  <dcterms:created xsi:type="dcterms:W3CDTF">2022-03-07T20:11:00Z</dcterms:created>
  <dcterms:modified xsi:type="dcterms:W3CDTF">2022-03-07T20:33:00Z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