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F4CB" w14:textId="2CF5E347" w:rsidR="00A75EF0" w:rsidRPr="009F393B" w:rsidRDefault="00A75EF0" w:rsidP="009F393B">
      <w:bookmarkStart w:id="0" w:name="introduction"/>
      <w:r w:rsidRPr="009F393B">
        <w:rPr>
          <w:b/>
          <w:bCs/>
        </w:rPr>
        <w:t>Title</w:t>
      </w:r>
      <w:r>
        <w:t xml:space="preserve">: </w:t>
      </w:r>
      <w:r w:rsidR="009F393B" w:rsidRPr="009F393B">
        <w:t>Temporal</w:t>
      </w:r>
      <w:r w:rsidR="009F393B" w:rsidRPr="00A75EF0">
        <w:rPr>
          <w:b/>
          <w:bCs/>
        </w:rPr>
        <w:t xml:space="preserve"> </w:t>
      </w:r>
      <w:r w:rsidR="009F393B" w:rsidRPr="009F393B">
        <w:t xml:space="preserve">changes in the individual size distribution decouple long-term trends </w:t>
      </w:r>
      <w:r w:rsidR="00AD673D">
        <w:t>in</w:t>
      </w:r>
      <w:r w:rsidR="009F393B" w:rsidRPr="009F393B">
        <w:t xml:space="preserve"> abundance</w:t>
      </w:r>
      <w:r w:rsidR="008B0E47">
        <w:t xml:space="preserve">, </w:t>
      </w:r>
      <w:r w:rsidR="009F393B" w:rsidRPr="009F393B">
        <w:t>biomass</w:t>
      </w:r>
      <w:r w:rsidR="008B0E47">
        <w:t>, and energy use</w:t>
      </w:r>
      <w:r w:rsidR="009F393B" w:rsidRPr="009F393B">
        <w:t xml:space="preserve"> of North American breeding bird communities</w:t>
      </w:r>
    </w:p>
    <w:p w14:paraId="536EF1C0" w14:textId="77777777" w:rsidR="00A75EF0" w:rsidRDefault="00A75EF0" w:rsidP="00A75EF0">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623D4311" w14:textId="0BC7C110" w:rsidR="00A75EF0" w:rsidRDefault="00A75EF0" w:rsidP="00A75EF0">
      <w:r>
        <w:t xml:space="preserve">1. School of Natural Resources and Environment, University of Florida, Gainesville, FL. Corresponding author. </w:t>
      </w:r>
      <w:hyperlink r:id="rId7" w:history="1">
        <w:r w:rsidR="006D7AF8" w:rsidRPr="003E4D39">
          <w:rPr>
            <w:rStyle w:val="Hyperlink"/>
          </w:rPr>
          <w:t>renata.diaz@weecology.org</w:t>
        </w:r>
      </w:hyperlink>
      <w:r w:rsidR="006D7AF8">
        <w:t xml:space="preserve"> </w:t>
      </w:r>
    </w:p>
    <w:p w14:paraId="6342C7BA" w14:textId="77777777" w:rsidR="00A75EF0" w:rsidRDefault="00A75EF0" w:rsidP="00A75EF0">
      <w:r>
        <w:t xml:space="preserve">2. Department of Wildlife Ecology and Conservation, University of Florida, Gainesville, FL. </w:t>
      </w:r>
    </w:p>
    <w:p w14:paraId="6EDB18E3" w14:textId="77777777" w:rsidR="00771805" w:rsidRDefault="00771805">
      <w:pPr>
        <w:spacing w:before="0" w:after="0" w:line="276" w:lineRule="auto"/>
      </w:pPr>
    </w:p>
    <w:p w14:paraId="04E63D2C" w14:textId="51B6CB25" w:rsidR="00A75EF0" w:rsidRDefault="00771805">
      <w:pPr>
        <w:spacing w:before="0" w:after="0" w:line="276" w:lineRule="auto"/>
      </w:pPr>
      <w:r>
        <w:t>Manuscript in prep.</w:t>
      </w:r>
      <w:r w:rsidR="00A75EF0">
        <w:br w:type="page"/>
      </w:r>
    </w:p>
    <w:p w14:paraId="0651DBB1" w14:textId="131A056B" w:rsidR="00D22527" w:rsidRDefault="008054E9">
      <w:pPr>
        <w:pStyle w:val="Heading1"/>
      </w:pPr>
      <w:r>
        <w:lastRenderedPageBreak/>
        <w:t>Introduction</w:t>
      </w:r>
      <w:bookmarkEnd w:id="0"/>
    </w:p>
    <w:p w14:paraId="0D65BDFE" w14:textId="3F6430FD" w:rsidR="00D22527" w:rsidRDefault="008054E9">
      <w:r>
        <w:t>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(“energy use”)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 (Morlon et al. 2009, Dornelas et al. 2011, Connolly et al. 2005, White et al. 2007). While these currencies are naturally linked (Morlon et al. 2009, Henderson and Magurran 2010), changes in size composition can decouple the dynamics of one currency from another (Ernest et al. 2009, Dornelas et al. 2011, White et al. 2004, 2007, Yen et al. 2017). This can mean that intuition from one currency may be misleading about others; a trend in numerical abundance might mask alternative dynamics occurring with respect to biomass or total energy use (White et al. 2004). Changes in size composition strong enough to decouple currencies may be symptomatic of important changes in ecosystem status- e.g.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48C1BE1B" w:rsidR="00D22527" w:rsidRDefault="008054E9">
      <w:r>
        <w:t xml:space="preserve">At the community scale, changes in the relationship between size and abundance can signal important shifts in community structure and functional composition. To the extent that size is a proxy for other functional traits, changes or consistency in the community-level size structure (individiual size distribution, ISD) over time may reflect processes related to niche structure </w:t>
      </w:r>
      <w:r>
        <w:lastRenderedPageBreak/>
        <w:t xml:space="preserve">(White et al. 2007, Petchey and Belgrano 2010). Strong size shifts can decouple the relationship between abundance and biomass. </w:t>
      </w:r>
      <w:r w:rsidR="00731C2B">
        <w:t>This is especially well-established in</w:t>
      </w:r>
      <w:r>
        <w:t xml:space="preserve"> aquatic systems, </w:t>
      </w:r>
      <w:r w:rsidR="00731C2B">
        <w:t xml:space="preserve">where </w:t>
      </w:r>
      <w:r>
        <w:t>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Or, consistency in the size structure may maintain the relationship between size- and -abundance based currencies, even as species composition, total abundance, and total biomass</w:t>
      </w:r>
      <w:r w:rsidR="009D4247">
        <w:t xml:space="preserve"> and </w:t>
      </w:r>
      <w:r>
        <w:t>total energy use fluctuate over time, which can reflect consistency in the niche structure over time (Holling 1992).</w:t>
      </w:r>
    </w:p>
    <w:p w14:paraId="27D78BDE" w14:textId="77777777" w:rsidR="00D22527" w:rsidRDefault="008054E9">
      <w:r>
        <w:t>It is important to improve our understanding of these dynamics for terrestrial animal communities in particular.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6F920B61"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(with the exception of small mammal studies, which have made major contributions to our understanding of the dynamics of size, abundance, and function for these systems; White et al. 2004, Ernest 2005, Hernández et al. 2011, Kelt et al. 2015). Global, continental, or population-wide studies capture different phenomena (White et al. 2007, McGill et al. 2015). The ISDs for terrestrial animals, and specifically for determinate growing taxa (e.g. mammals, birds), are often complex, multimodal distributions strongly determined by community </w:t>
      </w:r>
      <w:r>
        <w:rPr>
          <w:i/>
        </w:rPr>
        <w:t>species</w:t>
      </w:r>
      <w:r>
        <w:t xml:space="preserve"> composition (Holling 1992, Thibault et al. 2011, Ernest 2005, Yen et al. 2017) and less statistically tractable than the power-law ISDs found in aquatic and tree systems (Kerr and Dickie 2001, White et al. 2007). Quantifying change in the size structure, and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77777777" w:rsidR="00D22527" w:rsidRDefault="008054E9">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w:t>
      </w:r>
      <w:r>
        <w:lastRenderedPageBreak/>
        <w:t>examined: 1) How often do these currencies change together vs. have decoupled dynamics?;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14:paraId="48C556B5" w14:textId="77777777" w:rsidR="00D22527" w:rsidRDefault="008054E9">
      <w:pPr>
        <w:pStyle w:val="Heading1"/>
      </w:pPr>
      <w:bookmarkStart w:id="1" w:name="methods"/>
      <w:r>
        <w:t>Methods</w:t>
      </w:r>
      <w:bookmarkEnd w:id="1"/>
    </w:p>
    <w:p w14:paraId="559C3D96" w14:textId="77777777" w:rsidR="00D22527" w:rsidRDefault="008054E9">
      <w:pPr>
        <w:pStyle w:val="Heading2"/>
      </w:pPr>
      <w:bookmarkStart w:id="2" w:name="bird-abundance-data"/>
      <w:r>
        <w:t>Bird abundance data</w:t>
      </w:r>
      <w:bookmarkEnd w:id="2"/>
    </w:p>
    <w:p w14:paraId="65F3898B" w14:textId="573F99A5" w:rsidR="00D22527" w:rsidRDefault="008054E9">
      <w:r>
        <w:t xml:space="preserve">We used data from the Breeding Bird Survey (Pardieck et al. 2019) to evaluate trends in abundance, biomass, and energy use. The Breeding Bird Survey consists of roughly </w:t>
      </w:r>
      <w:r w:rsidR="007E1233">
        <w:t>40 kilometer</w:t>
      </w:r>
      <w:r>
        <w:t xml:space="preserve">-long survey routes distributed throughout the United States and Canada. Routes are surveyed annually during the breeding season (predominately May-June), via 50 3-minute point counts during which all birds seen or heard are identified to species (Pardieck et al. 2019). Sampling began in 1966, and routes have been added over time to a current total of roughly 3000 routes (Pardieck et al. (2019)) We explored trends in abundance, biomass, and energy use over the 30-year time period from 1989-2018. We selected these years to provide a temporal window sufficient to detect </w:t>
      </w:r>
      <w:r w:rsidR="00B15E64">
        <w:t xml:space="preserve">long-term </w:t>
      </w:r>
      <w:r>
        <w:t>trends (Cusser et al. (2020)),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xml:space="preserve">, following Harris et al. (2018). We </w:t>
      </w:r>
      <w:r>
        <w:lastRenderedPageBreak/>
        <w:t>accessed the data, and performed this preliminary cleaning and filtering, using the R package MATSS (Ye et al. 2020).</w:t>
      </w:r>
    </w:p>
    <w:p w14:paraId="4AF08278" w14:textId="77777777" w:rsidR="00D22527" w:rsidRDefault="008054E9">
      <w:pPr>
        <w:pStyle w:val="Heading2"/>
      </w:pPr>
      <w:bookmarkStart w:id="3" w:name="estimated-size-data"/>
      <w:r>
        <w:t>Estimated size data</w:t>
      </w:r>
      <w:bookmarkEnd w:id="3"/>
    </w:p>
    <w:p w14:paraId="07CA21CB" w14:textId="20D86C65" w:rsidR="00D22527" w:rsidRDefault="00B4600F">
      <w:r>
        <w:t>The Breeding Bird Survey</w:t>
      </w:r>
      <w:r w:rsidR="008054E9">
        <w:t xml:space="preserve">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 body sizes 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 xml:space="preserve">.86; see also Thibault et al. (2011)). For species with multiple records in Dunning (2008),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in a given year, we compute total energy use, total biomass, and total abundance by summing over all individuals observed on that route in that year. This method does not incorporate intraspecific variation in body size across geographies or over time (Dunning 2008, Gardner et al. 2011). However, it makes it possible to conduct macroecological studies of avian size distributions at a spatial and </w:t>
      </w:r>
      <w:r w:rsidR="008054E9">
        <w:lastRenderedPageBreak/>
        <w:t>temporal scale that would otherwise be impossible (Thibault et al. 2011).</w:t>
      </w:r>
      <w:r w:rsidR="00B2276E">
        <w:t xml:space="preserve"> The R package containing code to generate these size estimates is available at</w:t>
      </w:r>
      <w:r w:rsidR="00420AF8">
        <w:t xml:space="preserve"> [</w:t>
      </w:r>
      <w:r w:rsidR="00420AF8" w:rsidRPr="00322DD9">
        <w:rPr>
          <w:highlight w:val="yellow"/>
        </w:rPr>
        <w:t>Zenodo</w:t>
      </w:r>
      <w:r w:rsidR="00420AF8">
        <w:t>]</w:t>
      </w:r>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62B2CFE1" w:rsidR="00D22527" w:rsidRDefault="008054E9">
      <w:r>
        <w:t>Comparing trends across different currencies is a nontrivial statistical problem. Because different currencies vary widely in their units of measure (e.g. abundance in the hundreds of individuals; total biomass in the thousands of grams)</w:t>
      </w:r>
      <w:r w:rsidR="007B375E">
        <w:t>, and</w:t>
      </w:r>
      <w:r>
        <w:t xml:space="preserve"> 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77777777" w:rsidR="00D22527" w:rsidRDefault="008054E9">
      <w:r>
        <w:t>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t>
      </w:r>
      <w:r>
        <w:lastRenderedPageBreak/>
        <w:t>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as each species’ mean relative abundance taken across all timesteps:</w:t>
      </w:r>
    </w:p>
    <w:p w14:paraId="2DD46E77" w14:textId="6E6A9E12" w:rsidR="00D22527" w:rsidRDefault="008054E9">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 “abundance-driven” dynamics.</w:t>
      </w:r>
    </w:p>
    <w:p w14:paraId="653E0013" w14:textId="77777777" w:rsidR="00D22527" w:rsidRDefault="008054E9">
      <w:pPr>
        <w:pStyle w:val="Heading2"/>
      </w:pPr>
      <w:bookmarkStart w:id="5" w:name="long-term-trends"/>
      <w:r>
        <w:t>Long-term trends</w:t>
      </w:r>
      <w:bookmarkEnd w:id="5"/>
    </w:p>
    <w:p w14:paraId="1695B332" w14:textId="1629B421" w:rsidR="00D22527" w:rsidRDefault="008054E9">
      <w:r>
        <w:t xml:space="preserve">For each route, we evaluated the 30-year trend in biomass (or energy use) and compared this to the trend derived from the “abundance-driven” null model using generalized linear models with a Gamma family and log link (appropriate for strictly-positive response variables such as biomass or total </w:t>
      </w:r>
      <w:r w:rsidR="0044445D">
        <w:t>energy use</w:t>
      </w:r>
      <w:r>
        <w:t xml:space="preserve">). We fit four models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71A949ED" w:rsidR="00D22527" w:rsidRDefault="008054E9">
      <w:pPr>
        <w:numPr>
          <w:ilvl w:val="0"/>
          <w:numId w:val="2"/>
        </w:numPr>
      </w:pPr>
      <w:r w:rsidRPr="004C62D6">
        <w:rPr>
          <w:i/>
          <w:iCs/>
        </w:rPr>
        <w:lastRenderedPageBreak/>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This model fits a temporal trend, but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AICc. In instances where multiple models had AICc scores within two AICc units of the best-fitting model, we selected the simplest model within two </w:t>
      </w:r>
      <w:r w:rsidR="00E94A81">
        <w:t xml:space="preserve">AICc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value, and </w:t>
      </w:r>
      <w:r>
        <w:lastRenderedPageBreak/>
        <w:t>characterized the direction of the long-term trend as increasing if this ratio was greater than one, and decreasing if it was less than one.</w:t>
      </w:r>
    </w:p>
    <w:p w14:paraId="75BE8687" w14:textId="77777777" w:rsidR="00D22527" w:rsidRDefault="008054E9">
      <w:pPr>
        <w:pStyle w:val="Heading2"/>
      </w:pPr>
      <w:bookmarkStart w:id="6" w:name="X31dc718cb093ddf8a408c15748922003f5cf579"/>
      <w:r>
        <w:t>Relating change in community structure to decoupling between abundance and size-based dynamics</w:t>
      </w:r>
      <w:bookmarkEnd w:id="6"/>
    </w:p>
    <w:p w14:paraId="293BE0B5" w14:textId="77777777" w:rsidR="00D22527" w:rsidRDefault="008054E9">
      <w:r>
        <w:t>Community dissimilarity metrics are most readily interpretable when making pairwise comparisons (as opposed to repeated comparsions over a timeseries). We compared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m:oMathPara>
        <m:oMath>
          <m:r>
            <m:rPr>
              <m:nor/>
            </m:rPr>
            <w:rPr>
              <w:rFonts w:ascii="Cambria Math"/>
            </w:rPr>
            <m:t>absolute_</m:t>
          </m:r>
          <m:r>
            <m:rPr>
              <m:nor/>
            </m:rPr>
            <w:rPr>
              <w:rFonts w:ascii="Cambria Math"/>
            </w:rPr>
            <m:t xml:space="preserve">log_ratio = </m:t>
          </m:r>
          <m:r>
            <m:rPr>
              <m:nor/>
            </m:rPr>
            <w:rPr>
              <w:rFonts w:ascii="Cambria Math"/>
            </w:rPr>
            <m:t>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r>
            <w:rPr>
              <w:rFonts w:ascii="Cambria Math" w:hAnsi="Cambria Math"/>
            </w:rPr>
            <m:t>)</m:t>
          </m:r>
        </m:oMath>
      </m:oMathPara>
    </w:p>
    <w:p w14:paraId="1BC9B49C" w14:textId="77777777"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is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lastRenderedPageBreak/>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r>
        <w:rPr>
          <w:i/>
        </w:rPr>
        <w:t>Selasphorus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xml:space="preserve">= </m:t>
        </m:r>
        <m:r>
          <w:rPr>
            <w:rFonts w:ascii="Cambria Math" w:hAnsi="Cambria Math"/>
          </w:rPr>
          <m:t>∑</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Bray-Curtis dissimilarity between the two communities using the R package vegan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i.e. “Decoupled trends”, “Coupled trends”, or “No directional change” –</w:t>
      </w:r>
      <w:r>
        <w:t xml:space="preserve"> differed in 1) the </w:t>
      </w:r>
      <w:r>
        <w:lastRenderedPageBreak/>
        <w:t>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absolute_log_ratio </w:t>
      </w:r>
      <w:r w:rsidRPr="00A56AE5">
        <w:rPr>
          <w:i/>
          <w:iCs/>
        </w:rPr>
        <w:t xml:space="preserve"> ~ </w:t>
      </w:r>
      <w:r w:rsidR="00BF2189">
        <w:rPr>
          <w:i/>
          <w:iCs/>
        </w:rPr>
        <w:t>syndrome.</w:t>
      </w:r>
      <w:r>
        <w:t xml:space="preserve"> We used the absolute log </w:t>
      </w:r>
      <w:r w:rsidR="00CA2122">
        <w:t xml:space="preserve">ratio </w:t>
      </w:r>
      <w:r>
        <w:t xml:space="preserve">so as to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r w:rsidR="00A546E4">
        <w:rPr>
          <w:i/>
          <w:iCs/>
        </w:rPr>
        <w:t>log_ratio</w:t>
      </w:r>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r w:rsidR="00F13A51">
        <w:rPr>
          <w:i/>
          <w:iCs/>
        </w:rPr>
        <w:t>ISD_turnover ~ syndrome</w:t>
      </w:r>
      <w:r>
        <w:t xml:space="preserve"> and </w:t>
      </w:r>
      <w:r w:rsidR="00F13A51">
        <w:rPr>
          <w:i/>
        </w:rPr>
        <w:t>Bray_Curtis_dissimilarity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the intercept-only model, we calculated model estimates and contrasts using the R package emmeans (Lenth 2021).</w:t>
      </w:r>
    </w:p>
    <w:p w14:paraId="7D6E7F7E" w14:textId="77777777" w:rsidR="00D22527" w:rsidRDefault="008054E9">
      <w:pPr>
        <w:pStyle w:val="Heading1"/>
      </w:pPr>
      <w:bookmarkStart w:id="7" w:name="results"/>
      <w:r>
        <w:t>Results</w:t>
      </w:r>
      <w:bookmarkEnd w:id="7"/>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xml:space="preserve">, for biomass, the long-term temporal trends were evenly balanced between increases and decreases (256 decreasing trends, and 244 increasing trends; Figure 2; </w:t>
      </w:r>
      <w:r>
        <w:lastRenderedPageBreak/>
        <w:t>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04EF85EA"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 xml:space="preserve">decoupled trends over time had a higher absolute log ratio of mean mass (i.e. greater magnitude of change, either increasing or decreasing, in mean mass over time) than routes with coupled or no </w:t>
      </w:r>
      <w:r w:rsidR="00082D42">
        <w:t xml:space="preserve">directional </w:t>
      </w:r>
      <w:r>
        <w:t>trends (</w:t>
      </w:r>
      <w:r w:rsidR="009A1801">
        <w:t xml:space="preserve">Figure 4; </w:t>
      </w:r>
      <w:r>
        <w:t xml:space="preserve">Tables </w:t>
      </w:r>
      <w:r w:rsidR="009A1801">
        <w:t>S1-S3</w:t>
      </w:r>
      <w:r>
        <w:t>). However, there was not a detectable difference in the degree of temporal turnover in the ISD overall (</w:t>
      </w:r>
      <w:r w:rsidR="003C44D3">
        <w:t>Figure 4; Table S4</w:t>
      </w:r>
      <w:r>
        <w:t>), or in species composition (</w:t>
      </w:r>
      <w:r w:rsidR="003C44D3">
        <w:t>Figure 4; 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77777777" w:rsidR="00D22527" w:rsidRDefault="008054E9">
      <w:r>
        <w:t xml:space="preserve">Simultaneously examining multiple currencies of community-level abundance revealed qualitatively different continent-wide patterns in the long-term trends for abundance in terms of </w:t>
      </w:r>
      <w:r>
        <w:lastRenderedPageBreak/>
        <w:t xml:space="preserve">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(e.g.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Valen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White et al. (2004)).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w:t>
      </w:r>
      <w:r>
        <w:lastRenderedPageBreak/>
        <w:t>types of processes and dynamics - e.g.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45500A57" w14:textId="77777777"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 This consistent (but not ubiquitous) signal corresponds to community-level increases in average body size that partially or completely buffer changes in total against declines in abundance. This contrasts with general, global concerns that larger-bodied species are more vulnerable to extinction and population declines than smaller ones (</w:t>
      </w:r>
      <w:r>
        <w:rPr>
          <w:b/>
        </w:rPr>
        <w:t>???</w:t>
      </w:r>
      <w:r>
        <w:t>, Young et al. 2016, Dirzo et al. 2014, Smith et al. 2018). However, it is consistent with previous findings from the Breeding Bird Survey (Schipper et al. 2016). Increases in body size may reflect forests in recovery across North America over this timespan (Schipper et al. 2016), or the contributions of relatively few, large-bodied species that may in fact benefit from recent ecological changes (</w:t>
      </w:r>
      <w:r>
        <w:rPr>
          <w:b/>
        </w:rPr>
        <w:t>???</w:t>
      </w:r>
      <w:r>
        <w:t>). The long-term trends for communities of different taxonomic groups, geographies, or temporal spans may show different effects related to different facets of global change and biodiversity responses.</w:t>
      </w:r>
    </w:p>
    <w:p w14:paraId="2AA98273" w14:textId="77777777" w:rsidR="00D22527" w:rsidRDefault="008054E9">
      <w:r>
        <w:t xml:space="preserve">We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lastRenderedPageBreak/>
        <w:t>Complex relationships between compositional change and community-level properties</w:t>
      </w:r>
      <w:bookmarkEnd w:id="11"/>
    </w:p>
    <w:p w14:paraId="0B80F1C2" w14:textId="635D659B"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 Tables S1-S3</w:t>
      </w:r>
      <w:r>
        <w:t xml:space="preserve">). This aligns 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Tables S4-S5</w:t>
      </w:r>
      <w:r>
        <w:t>).</w:t>
      </w:r>
    </w:p>
    <w:p w14:paraId="6CC75EB7" w14:textId="1E0FB349"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w:t>
      </w:r>
      <w:r>
        <w:lastRenderedPageBreak/>
        <w:t>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w:t>
      </w:r>
      <w:r w:rsidR="004C5114">
        <w:t xml:space="preserve"> (</w:t>
      </w:r>
      <w:r w:rsidR="004C5114" w:rsidRPr="005D459B">
        <w:rPr>
          <w:highlight w:val="yellow"/>
        </w:rPr>
        <w:t>Zenodo</w:t>
      </w:r>
      <w:r w:rsidR="004C5114">
        <w:t>)</w:t>
      </w:r>
      <w:r w:rsidR="00CA3B60">
        <w:t>.</w:t>
      </w:r>
    </w:p>
    <w:p w14:paraId="37897802" w14:textId="77777777" w:rsidR="00D22527" w:rsidRPr="00CD2419" w:rsidRDefault="008054E9">
      <w:pPr>
        <w:pStyle w:val="Heading1"/>
        <w:rPr>
          <w:b w:val="0"/>
          <w:bCs/>
          <w:i/>
          <w:iCs/>
        </w:rPr>
      </w:pPr>
      <w:bookmarkStart w:id="12" w:name="conclusion"/>
      <w:r w:rsidRPr="00CD2419">
        <w:rPr>
          <w:b w:val="0"/>
          <w:bCs/>
          <w:i/>
          <w:iCs/>
        </w:rPr>
        <w:t>Conclusion</w:t>
      </w:r>
      <w:bookmarkEnd w:id="12"/>
    </w:p>
    <w:p w14:paraId="2FCDC35D" w14:textId="77777777" w:rsidR="00D22527" w:rsidRDefault="008054E9">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w:t>
      </w:r>
      <w:r>
        <w:lastRenderedPageBreak/>
        <w:t>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r>
        <w:t>Cusser, S., C. Bahlai,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r>
        <w:t>Dirzo, R., H. S. Young, M. Galetti, G. Ceballos, N. J. B. Isaac, and B. Collen. 2014. Defaunation in the Anthropocene. Science 345:401–406.</w:t>
      </w:r>
    </w:p>
    <w:p w14:paraId="090AC962" w14:textId="77777777" w:rsidR="00D22527" w:rsidRDefault="008054E9">
      <w:bookmarkStart w:id="19" w:name="ref-dornelas2011"/>
      <w:bookmarkEnd w:id="18"/>
      <w:r>
        <w:t>Dornelas, M., D. A. T. Phillip, and A. E. Magurran.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Ernest, S. K. M., J. H. Brown, K. M. Thibault, E. P. White, and J. R. Goheen. 2008. Zero Sum, the Niche, and Metacommunities: Long-Term Dynamics of Community Assembly. The American Naturalist 172:E257–E269.</w:t>
      </w:r>
    </w:p>
    <w:p w14:paraId="4FAF255B" w14:textId="77777777" w:rsidR="00D22527" w:rsidRDefault="008054E9">
      <w:bookmarkStart w:id="23" w:name="ref-ernest2009"/>
      <w:bookmarkEnd w:id="22"/>
      <w:r>
        <w:t>Ernest, S. K. M., E. P. White, and J. H. Brown. 2009. Changes in a tropical forest support metabolic zero-sum dynamics. Ecology Letters 12:507–515.</w:t>
      </w:r>
    </w:p>
    <w:p w14:paraId="0D38E1C3" w14:textId="77777777" w:rsidR="00D22527" w:rsidRDefault="008054E9">
      <w:bookmarkStart w:id="24" w:name="ref-fisher2010"/>
      <w:bookmarkEnd w:id="23"/>
      <w:r>
        <w:lastRenderedPageBreak/>
        <w:t>Fisher, J. A. D., K. T. Frank, and W. C. Leggett. 2010. Dynamic macroecology on ecological time-scales.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Harris, D. J., S. D. Taylor, and E. P. White. 2018. Forecasting biodiversity in breeding birds using best practices. PeerJ 6:e4278.</w:t>
      </w:r>
    </w:p>
    <w:p w14:paraId="617DC7D8" w14:textId="77777777" w:rsidR="00D22527" w:rsidRDefault="008054E9">
      <w:bookmarkStart w:id="28" w:name="ref-henderson2010"/>
      <w:bookmarkEnd w:id="27"/>
      <w:r>
        <w:t>Henderson, P. A., and A. E. Magurran.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Hernández, L., J. W. Laundré, A. González-Romero, J. López-Portillo, and K. M. Grajales. 2011. Tale of two metrics: Density and biomass in a desert rodent community. Journal of Mammalogy 92:840–851.</w:t>
      </w:r>
    </w:p>
    <w:p w14:paraId="11965E78" w14:textId="77777777" w:rsidR="00D22527" w:rsidRDefault="008054E9">
      <w:bookmarkStart w:id="30" w:name="ref-holling1992"/>
      <w:bookmarkEnd w:id="29"/>
      <w:r>
        <w:t>Holling,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r>
        <w:t>Kelt, D. A., J. R. Aliperti, P. L. Meserve, W. B. Milstead, M. A. Previtali,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r>
        <w:t>Lenth, R. V. 2021. Emmeans: Estimated Marginal Means, aka Least-Squares Means.</w:t>
      </w:r>
    </w:p>
    <w:p w14:paraId="735A0BC8" w14:textId="77777777" w:rsidR="00D22527" w:rsidRDefault="008054E9">
      <w:bookmarkStart w:id="35" w:name="ref-mcgill2015"/>
      <w:bookmarkEnd w:id="34"/>
      <w:r>
        <w:t>McGill, B. J., M. Dornelas, N. J. Gotelli, and A. E. Magurran.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Morlon, H., E. P. White, R. S. Etienne, J. L. Green, A. Ostling, D. Alonso, B. J. Enquist, F. He, A. Hurlbert, A. E. Magurran, B. A. Maurer, B. J. McGill, H. Olff, D. Storch, and T. Zillio.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r>
        <w:t>Pardieck, K. L., D. J. Ziolkowski, M. Lutmerding,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Pinheiro, J., D. Bates, S. DebRoy, D. Sarkar, and R Core Team. 2020. Nlme: Linear and Nonlinear Mixed Effects Models.</w:t>
      </w:r>
    </w:p>
    <w:p w14:paraId="723092D7" w14:textId="77777777" w:rsidR="00D22527" w:rsidRDefault="008054E9">
      <w:bookmarkStart w:id="42" w:name="ref-read2018"/>
      <w:bookmarkEnd w:id="41"/>
      <w:r>
        <w:t>Read, Q. D., J. M. Grady, P. L. Zarnetske, S. Record, B. Baiser, J. Belmaker, M.-N. Tuanmu, A. Strecker, L. Beaudrot, and K. M. Thibault. 2018. Among-species overlap in rodent body size distributions predicts species richness along a temperature gradient. Ecography 41:1718–1727.</w:t>
      </w:r>
    </w:p>
    <w:p w14:paraId="4C7E42E8" w14:textId="77777777" w:rsidR="00D22527" w:rsidRDefault="008054E9">
      <w:bookmarkStart w:id="43" w:name="ref-schipper2016"/>
      <w:bookmarkEnd w:id="42"/>
      <w:r>
        <w:lastRenderedPageBreak/>
        <w:t>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Schmitz, O. J., C. C. Wilmers, S. J. Leroux, C. E. Doughty, T. B. Atwood, M. Galetti, A. B. Davies, and S. J. Goetz. 2018. Animals and the zoogeochemistry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Thibault, K. M., E. P. White, A. H. Hurlbert,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Van Valen,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White, E. P. 2004. Two-phase speciesTime relationships in North American land birds. Ecology Letters 7:329–336.</w:t>
      </w:r>
    </w:p>
    <w:p w14:paraId="6550370D" w14:textId="77777777" w:rsidR="00D22527" w:rsidRDefault="008054E9">
      <w:bookmarkStart w:id="52" w:name="ref-white2007"/>
      <w:bookmarkEnd w:id="51"/>
      <w:r>
        <w:t>White, E. P., S. K. M. Ernest, A. J. Kerkhoff, and B. J. Enquist.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Ye, H., E. K. Bledsoe, R. Diaz, S. K. M. Ernest, J. L. Simonis, E. P. White, and G. M. Yenni. 2020, May. Macroecological Analyses of Time Series Structure. Zenodo.</w:t>
      </w:r>
    </w:p>
    <w:p w14:paraId="2BAB5054" w14:textId="77777777" w:rsidR="00D22527" w:rsidRDefault="008054E9">
      <w:bookmarkStart w:id="55" w:name="ref-yen2017"/>
      <w:bookmarkEnd w:id="54"/>
      <w:r>
        <w:t>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56" w:name="ref-young2016"/>
      <w:bookmarkEnd w:id="55"/>
      <w:r>
        <w:t>Young, H. S., D. J. McCauley, M. Galetti, and R. Dirzo. 2016. Patterns, Causes, and Consequences of Anthropocene Defaunation. Annual Review of Ecology, Evolution, and Systematics 47:333–358.</w:t>
      </w:r>
      <w:bookmarkEnd w:id="15"/>
      <w:bookmarkEnd w:id="56"/>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57" w:name="figure-1."/>
      <w:r w:rsidRPr="00DF4FB8">
        <w:rPr>
          <w:b/>
          <w:bCs/>
        </w:rPr>
        <w:t>Figure 1.</w:t>
      </w:r>
      <w:bookmarkEnd w:id="57"/>
      <w:r w:rsidR="00DF4FB8">
        <w:rPr>
          <w:b/>
          <w:bCs/>
        </w:rPr>
        <w:t xml:space="preserve"> </w:t>
      </w:r>
      <w:r>
        <w:t xml:space="preserve">Illustration of abundance-driven (null model) dynamics as compared to observed dynamics (A), and the underlying dynamics of the ISD (B) for a sample route (Lindbrook,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r w:rsidRPr="00C925F6">
        <w:rPr>
          <w:i/>
          <w:iCs/>
        </w:rPr>
        <w:t>total_biomass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body sizes results in an overall increase in body size community wide, which partially offsets declines in total biomass from those expected given change in abundance alone.</w:t>
      </w:r>
    </w:p>
    <w:p w14:paraId="29C99A64" w14:textId="77777777" w:rsidR="00A32721" w:rsidRDefault="00A32721">
      <w:pPr>
        <w:spacing w:before="0" w:after="0" w:line="276" w:lineRule="auto"/>
        <w:rPr>
          <w:color w:val="666666"/>
        </w:rPr>
      </w:pPr>
      <w:bookmarkStart w:id="58"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58"/>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59"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59"/>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0" w:name="X7f8135000bc5a650b0df27bc14c80f03923ddde"/>
      <w:r w:rsidRPr="00F60001">
        <w:rPr>
          <w:b/>
          <w:bCs/>
        </w:rPr>
        <w:lastRenderedPageBreak/>
        <w:t xml:space="preserve">Figure 4. </w:t>
      </w:r>
      <w:bookmarkEnd w:id="60"/>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Bray-Curtis dissimilarity comparing species composition in the first five years to the last five years.</w:t>
      </w:r>
    </w:p>
    <w:p w14:paraId="46DF4951" w14:textId="7CB889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 xml:space="preserve">(see also Tables </w:t>
      </w:r>
      <w:r w:rsidR="00DF5B16">
        <w:t>S1-S</w:t>
      </w:r>
      <w:r w:rsidR="0073201D">
        <w:t>3</w:t>
      </w:r>
      <w:r w:rsidR="00DF5B16">
        <w:t>)</w:t>
      </w:r>
      <w:r>
        <w:t>. However, routes with all three signatures of dynamics (coupling, decoupling, or no trend) are not detectably different in the degree of overall change in the ISD or in species composition over time (panels B and C</w:t>
      </w:r>
      <w:r w:rsidR="003E39A2">
        <w:t>; 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5A5E7F5C">
            <wp:extent cx="5943600" cy="4210050"/>
            <wp:effectExtent l="0" t="0" r="0" b="0"/>
            <wp:docPr id="1"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line chart&#10;&#10;Description automatically generated"/>
                    <pic:cNvPicPr>
                      <a:picLocks noChangeAspect="1" noChangeArrowheads="1"/>
                    </pic:cNvPicPr>
                  </pic:nvPicPr>
                  <pic:blipFill>
                    <a:blip r:embed="rId8"/>
                    <a:stretch>
                      <a:fillRect/>
                    </a:stretch>
                  </pic:blipFill>
                  <pic:spPr bwMode="auto">
                    <a:xfrm>
                      <a:off x="0" y="0"/>
                      <a:ext cx="59436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00C74ED6">
            <wp:extent cx="4876800" cy="4876800"/>
            <wp:effectExtent l="0" t="0" r="0" b="0"/>
            <wp:docPr id="2" name="Picture"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10;&#10;Description automatically generated"/>
                    <pic:cNvPicPr>
                      <a:picLocks noChangeAspect="1" noChangeArrowheads="1"/>
                    </pic:cNvPicPr>
                  </pic:nvPicPr>
                  <pic:blipFill>
                    <a:blip r:embed="rId9"/>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6E46B3CB">
            <wp:extent cx="5943600" cy="3241675"/>
            <wp:effectExtent l="0" t="0" r="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a:blip r:embed="rId10"/>
                    <a:stretch>
                      <a:fillRect/>
                    </a:stretch>
                  </pic:blipFill>
                  <pic:spPr bwMode="auto">
                    <a:xfrm>
                      <a:off x="0" y="0"/>
                      <a:ext cx="5943600"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33FD84D6">
            <wp:extent cx="5943600" cy="3467100"/>
            <wp:effectExtent l="0" t="0" r="0" b="0"/>
            <wp:docPr id="4"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Diagram&#10;&#10;Description automatically generated"/>
                    <pic:cNvPicPr>
                      <a:picLocks noChangeAspect="1" noChangeArrowheads="1"/>
                    </pic:cNvPicPr>
                  </pic:nvPicPr>
                  <pic:blipFill>
                    <a:blip r:embed="rId11"/>
                    <a:stretch>
                      <a:fillRect/>
                    </a:stretch>
                  </pic:blipFill>
                  <pic:spPr bwMode="auto">
                    <a:xfrm>
                      <a:off x="0" y="0"/>
                      <a:ext cx="594360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1"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1"/>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96"/>
        <w:gridCol w:w="2438"/>
        <w:gridCol w:w="1993"/>
        <w:gridCol w:w="2244"/>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22173592"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or a model with decoupled temporal trends for observed and abundance-driven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abundance-driven dynamics).</w:t>
      </w:r>
    </w:p>
    <w:p w14:paraId="79548A2D" w14:textId="77777777" w:rsidR="00C55764" w:rsidRDefault="00C55764" w:rsidP="00C55764">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46"/>
        <w:gridCol w:w="3066"/>
        <w:gridCol w:w="2617"/>
        <w:gridCol w:w="2447"/>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77777777" w:rsidR="00AD212F" w:rsidRDefault="00AD212F" w:rsidP="00941703">
            <w:pPr>
              <w:jc w:val="right"/>
            </w:pPr>
            <w:r>
              <w:t>Proportion of increasing abundance-driven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2" w:name="X7cf9e2c66cae91482f0f316d0c0dac24358c362"/>
      <w:r w:rsidRPr="00EF1E28">
        <w:rPr>
          <w:b/>
          <w:bCs/>
        </w:rPr>
        <w:t xml:space="preserve">Table 2. </w:t>
      </w:r>
      <w:bookmarkEnd w:id="62"/>
    </w:p>
    <w:p w14:paraId="3D22AECE" w14:textId="2E31BE5E"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abundance-driven and observed dynamics</w:t>
      </w:r>
      <w:r>
        <w:t>, for</w:t>
      </w:r>
      <w:r>
        <w:t xml:space="preserve">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77777777" w:rsidR="00AD212F" w:rsidRDefault="00AD212F" w:rsidP="00AD212F">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700179AA" w14:textId="77777777" w:rsidR="00AD212F" w:rsidRPr="008F4DA0" w:rsidRDefault="00AD212F" w:rsidP="003C7803">
      <w:pPr>
        <w:spacing w:before="0" w:after="0" w:line="276" w:lineRule="auto"/>
        <w:rPr>
          <w:b/>
          <w:bCs/>
        </w:rPr>
      </w:pPr>
    </w:p>
    <w:sectPr w:rsidR="00AD212F" w:rsidRPr="008F4D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F0D2" w14:textId="77777777" w:rsidR="000B3B8E" w:rsidRDefault="000B3B8E">
      <w:pPr>
        <w:spacing w:before="0" w:after="0" w:line="240" w:lineRule="auto"/>
      </w:pPr>
      <w:r>
        <w:separator/>
      </w:r>
    </w:p>
  </w:endnote>
  <w:endnote w:type="continuationSeparator" w:id="0">
    <w:p w14:paraId="6C80E9F2" w14:textId="77777777" w:rsidR="000B3B8E" w:rsidRDefault="000B3B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F6C34" w14:textId="77777777" w:rsidR="000B3B8E" w:rsidRDefault="000B3B8E">
      <w:r>
        <w:separator/>
      </w:r>
    </w:p>
  </w:footnote>
  <w:footnote w:type="continuationSeparator" w:id="0">
    <w:p w14:paraId="20F57D19" w14:textId="77777777" w:rsidR="000B3B8E" w:rsidRDefault="000B3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43E"/>
    <w:rsid w:val="00015D64"/>
    <w:rsid w:val="00025336"/>
    <w:rsid w:val="00082D42"/>
    <w:rsid w:val="000A012D"/>
    <w:rsid w:val="000A447D"/>
    <w:rsid w:val="000A66BB"/>
    <w:rsid w:val="000B3B8E"/>
    <w:rsid w:val="000D564B"/>
    <w:rsid w:val="00100956"/>
    <w:rsid w:val="0010562F"/>
    <w:rsid w:val="00126807"/>
    <w:rsid w:val="00133F19"/>
    <w:rsid w:val="00176A09"/>
    <w:rsid w:val="00184CB6"/>
    <w:rsid w:val="001A558D"/>
    <w:rsid w:val="001C2CE1"/>
    <w:rsid w:val="001D4FDB"/>
    <w:rsid w:val="001F19D2"/>
    <w:rsid w:val="001F47AF"/>
    <w:rsid w:val="002062F8"/>
    <w:rsid w:val="00206BD4"/>
    <w:rsid w:val="00207E3A"/>
    <w:rsid w:val="00236B4A"/>
    <w:rsid w:val="002372D7"/>
    <w:rsid w:val="00273F00"/>
    <w:rsid w:val="00280635"/>
    <w:rsid w:val="00292506"/>
    <w:rsid w:val="002A25C2"/>
    <w:rsid w:val="002E4EFB"/>
    <w:rsid w:val="002F5A59"/>
    <w:rsid w:val="00322DD9"/>
    <w:rsid w:val="003907A5"/>
    <w:rsid w:val="003A3EDF"/>
    <w:rsid w:val="003C44D3"/>
    <w:rsid w:val="003C643E"/>
    <w:rsid w:val="003C7803"/>
    <w:rsid w:val="003D1A25"/>
    <w:rsid w:val="003E39A2"/>
    <w:rsid w:val="003F1C3D"/>
    <w:rsid w:val="003F1DBB"/>
    <w:rsid w:val="00405D39"/>
    <w:rsid w:val="00420AF8"/>
    <w:rsid w:val="0044445D"/>
    <w:rsid w:val="00480C20"/>
    <w:rsid w:val="00495002"/>
    <w:rsid w:val="004C5114"/>
    <w:rsid w:val="004C62D6"/>
    <w:rsid w:val="004E29B3"/>
    <w:rsid w:val="004F6D55"/>
    <w:rsid w:val="00512158"/>
    <w:rsid w:val="005249CC"/>
    <w:rsid w:val="00573514"/>
    <w:rsid w:val="00585974"/>
    <w:rsid w:val="00590D07"/>
    <w:rsid w:val="00591A16"/>
    <w:rsid w:val="00595B42"/>
    <w:rsid w:val="005A3453"/>
    <w:rsid w:val="005B4850"/>
    <w:rsid w:val="005C3594"/>
    <w:rsid w:val="005D0906"/>
    <w:rsid w:val="005D459B"/>
    <w:rsid w:val="005E588B"/>
    <w:rsid w:val="005F2DA8"/>
    <w:rsid w:val="005F41CF"/>
    <w:rsid w:val="00615D30"/>
    <w:rsid w:val="00631136"/>
    <w:rsid w:val="006354A3"/>
    <w:rsid w:val="00641C58"/>
    <w:rsid w:val="00665680"/>
    <w:rsid w:val="00677C2B"/>
    <w:rsid w:val="006D517B"/>
    <w:rsid w:val="006D7AF8"/>
    <w:rsid w:val="006E03DA"/>
    <w:rsid w:val="006E1610"/>
    <w:rsid w:val="00704788"/>
    <w:rsid w:val="00731C2B"/>
    <w:rsid w:val="0073201D"/>
    <w:rsid w:val="00744981"/>
    <w:rsid w:val="00764C02"/>
    <w:rsid w:val="00771805"/>
    <w:rsid w:val="00784D58"/>
    <w:rsid w:val="007B375E"/>
    <w:rsid w:val="007E1233"/>
    <w:rsid w:val="007F0422"/>
    <w:rsid w:val="008054E9"/>
    <w:rsid w:val="0080587E"/>
    <w:rsid w:val="00832A83"/>
    <w:rsid w:val="00867FDA"/>
    <w:rsid w:val="0088282B"/>
    <w:rsid w:val="008B0E47"/>
    <w:rsid w:val="008B37C0"/>
    <w:rsid w:val="008D3861"/>
    <w:rsid w:val="008D6863"/>
    <w:rsid w:val="008E6955"/>
    <w:rsid w:val="008F4DA0"/>
    <w:rsid w:val="00914F90"/>
    <w:rsid w:val="00926218"/>
    <w:rsid w:val="00933D9C"/>
    <w:rsid w:val="00937E41"/>
    <w:rsid w:val="009A1801"/>
    <w:rsid w:val="009B5547"/>
    <w:rsid w:val="009D4247"/>
    <w:rsid w:val="009F393B"/>
    <w:rsid w:val="00A0169A"/>
    <w:rsid w:val="00A0696C"/>
    <w:rsid w:val="00A12D5F"/>
    <w:rsid w:val="00A14BE6"/>
    <w:rsid w:val="00A24971"/>
    <w:rsid w:val="00A32721"/>
    <w:rsid w:val="00A546E4"/>
    <w:rsid w:val="00A56AE5"/>
    <w:rsid w:val="00A751DB"/>
    <w:rsid w:val="00A75EF0"/>
    <w:rsid w:val="00AC6F69"/>
    <w:rsid w:val="00AD1CD8"/>
    <w:rsid w:val="00AD212F"/>
    <w:rsid w:val="00AD6285"/>
    <w:rsid w:val="00AD673D"/>
    <w:rsid w:val="00AF4A68"/>
    <w:rsid w:val="00B020AA"/>
    <w:rsid w:val="00B15E64"/>
    <w:rsid w:val="00B209BE"/>
    <w:rsid w:val="00B2276E"/>
    <w:rsid w:val="00B3118B"/>
    <w:rsid w:val="00B42886"/>
    <w:rsid w:val="00B4600F"/>
    <w:rsid w:val="00B86B75"/>
    <w:rsid w:val="00BA1EE2"/>
    <w:rsid w:val="00BB664B"/>
    <w:rsid w:val="00BC48D5"/>
    <w:rsid w:val="00BE14BB"/>
    <w:rsid w:val="00BE192D"/>
    <w:rsid w:val="00BF0389"/>
    <w:rsid w:val="00BF2189"/>
    <w:rsid w:val="00C1182A"/>
    <w:rsid w:val="00C3460F"/>
    <w:rsid w:val="00C36279"/>
    <w:rsid w:val="00C55764"/>
    <w:rsid w:val="00C5742A"/>
    <w:rsid w:val="00C73855"/>
    <w:rsid w:val="00CA2122"/>
    <w:rsid w:val="00CA3B60"/>
    <w:rsid w:val="00CD2419"/>
    <w:rsid w:val="00CF3BF2"/>
    <w:rsid w:val="00D05808"/>
    <w:rsid w:val="00D064A4"/>
    <w:rsid w:val="00D07F6D"/>
    <w:rsid w:val="00D22527"/>
    <w:rsid w:val="00D33344"/>
    <w:rsid w:val="00D8360B"/>
    <w:rsid w:val="00D93A56"/>
    <w:rsid w:val="00DB0972"/>
    <w:rsid w:val="00DC3696"/>
    <w:rsid w:val="00DF4FB8"/>
    <w:rsid w:val="00DF5B16"/>
    <w:rsid w:val="00E01A9C"/>
    <w:rsid w:val="00E204BB"/>
    <w:rsid w:val="00E315A3"/>
    <w:rsid w:val="00E468AE"/>
    <w:rsid w:val="00E94A81"/>
    <w:rsid w:val="00EA1974"/>
    <w:rsid w:val="00EC5BD8"/>
    <w:rsid w:val="00EC5E20"/>
    <w:rsid w:val="00ED0831"/>
    <w:rsid w:val="00EE37B4"/>
    <w:rsid w:val="00EE4BDF"/>
    <w:rsid w:val="00EF1E28"/>
    <w:rsid w:val="00EF4D40"/>
    <w:rsid w:val="00F10956"/>
    <w:rsid w:val="00F13A51"/>
    <w:rsid w:val="00F379E0"/>
    <w:rsid w:val="00F405B4"/>
    <w:rsid w:val="00F452F3"/>
    <w:rsid w:val="00F60001"/>
    <w:rsid w:val="00F769F7"/>
    <w:rsid w:val="00FA094F"/>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nata.diaz@weecolog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35</Pages>
  <Words>7296</Words>
  <Characters>41590</Characters>
  <Application>Microsoft Office Word</Application>
  <DocSecurity>0</DocSecurity>
  <Lines>346</Lines>
  <Paragraphs>97</Paragraphs>
  <ScaleCrop>false</ScaleCrop>
  <Company/>
  <LinksUpToDate>false</LinksUpToDate>
  <CharactersWithSpaces>48789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180</cp:revision>
  <dcterms:created xsi:type="dcterms:W3CDTF">2022-03-07T16:12:00Z</dcterms:created>
  <dcterms:modified xsi:type="dcterms:W3CDTF">2022-03-07T18:30:00Z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