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6D6A5" w14:textId="77777777" w:rsidR="00856DCA" w:rsidRDefault="00F31540">
      <w:pPr>
        <w:pStyle w:val="Heading1"/>
      </w:pPr>
      <w:bookmarkStart w:id="0" w:name="X469250c1d52590138dcfc8c8917d01dc8863552"/>
      <w:r>
        <w:t>Figure 1. Abundance-driven vs. observed change</w:t>
      </w:r>
      <w:bookmarkEnd w:id="0"/>
    </w:p>
    <w:p w14:paraId="34253E00" w14:textId="77777777" w:rsidR="00856DCA" w:rsidRDefault="00F31540">
      <w:r>
        <w:rPr>
          <w:noProof/>
        </w:rPr>
        <w:drawing>
          <wp:inline distT="0" distB="0" distL="0" distR="0" wp14:anchorId="197AEC06" wp14:editId="1BBD6518">
            <wp:extent cx="5943600" cy="42100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_and_tables_files/figure-docx/unnamed-chunk-4-1.png"/>
                    <pic:cNvPicPr>
                      <a:picLocks noChangeAspect="1" noChangeArrowheads="1"/>
                    </pic:cNvPicPr>
                  </pic:nvPicPr>
                  <pic:blipFill>
                    <a:blip r:embed="rId7"/>
                    <a:stretch>
                      <a:fillRect/>
                    </a:stretch>
                  </pic:blipFill>
                  <pic:spPr bwMode="auto">
                    <a:xfrm>
                      <a:off x="0" y="0"/>
                      <a:ext cx="5943600" cy="4210050"/>
                    </a:xfrm>
                    <a:prstGeom prst="rect">
                      <a:avLst/>
                    </a:prstGeom>
                    <a:noFill/>
                    <a:ln w="9525">
                      <a:noFill/>
                      <a:headEnd/>
                      <a:tailEnd/>
                    </a:ln>
                  </pic:spPr>
                </pic:pic>
              </a:graphicData>
            </a:graphic>
          </wp:inline>
        </w:drawing>
      </w:r>
    </w:p>
    <w:p w14:paraId="13C85979" w14:textId="77777777" w:rsidR="00856DCA" w:rsidRDefault="00F31540">
      <w:pPr>
        <w:pStyle w:val="Heading4"/>
      </w:pPr>
      <w:bookmarkStart w:id="1" w:name="figure-1."/>
      <w:r>
        <w:t>Figure 1.</w:t>
      </w:r>
      <w:bookmarkEnd w:id="1"/>
    </w:p>
    <w:p w14:paraId="081D37C6" w14:textId="0FA46157" w:rsidR="00856DCA" w:rsidRDefault="00F31540">
      <w:r>
        <w:t>Illustration of abundance-driven (null model) dynamics as compared to observed dynamics (A), and the underlying dynamics of the ISD (B) for a sample route (</w:t>
      </w:r>
      <w:proofErr w:type="spellStart"/>
      <w:r w:rsidR="00257FE4">
        <w:t>Lindbrook</w:t>
      </w:r>
      <w:proofErr w:type="spellEnd"/>
      <w:r>
        <w:t xml:space="preserve">, Alberta). </w:t>
      </w:r>
      <w:r>
        <w:rPr>
          <w:b/>
        </w:rPr>
        <w:t>A. Dynamics of total biomass.</w:t>
      </w:r>
      <w:r>
        <w:t xml:space="preserve"> The gold points show the true values for total bi</w:t>
      </w:r>
      <w:r>
        <w:t>omass in each year, and the blue points show the values for total biomass simulated from a null model that incorporates change in total abundance, but assumes no change in the size structure, over time. The smooth lines show the predicted values from a Gam</w:t>
      </w:r>
      <w:r>
        <w:t xml:space="preserve">ma (log-link) linear model of the form </w:t>
      </w:r>
      <w:r w:rsidRPr="00C925F6">
        <w:rPr>
          <w:i/>
          <w:iCs/>
        </w:rPr>
        <w:t xml:space="preserve">total_biomass ~ year * </w:t>
      </w:r>
      <w:r w:rsidR="00E16DDC" w:rsidRPr="00C925F6">
        <w:rPr>
          <w:i/>
          <w:iCs/>
        </w:rPr>
        <w:t>d</w:t>
      </w:r>
      <w:r w:rsidRPr="00C925F6">
        <w:rPr>
          <w:i/>
          <w:iCs/>
        </w:rPr>
        <w:t>ynamics</w:t>
      </w:r>
      <w:r w:rsidR="003F4A3B">
        <w:t xml:space="preserve">, where </w:t>
      </w:r>
      <w:r w:rsidR="003F4A3B">
        <w:rPr>
          <w:i/>
          <w:iCs/>
        </w:rPr>
        <w:t>dynamics</w:t>
      </w:r>
      <w:r w:rsidR="003F4A3B">
        <w:t xml:space="preserve"> refers to </w:t>
      </w:r>
      <w:r w:rsidR="007671B7">
        <w:t xml:space="preserve">either </w:t>
      </w:r>
      <w:r w:rsidR="003F4A3B">
        <w:t>the abundance-driven (null model) or observed dynamics</w:t>
      </w:r>
      <w:r>
        <w:t xml:space="preserve">. For this route, change in the individual size distribution has </w:t>
      </w:r>
      <w:r>
        <w:lastRenderedPageBreak/>
        <w:t>decoupled the dynamics of biomass from those that would occur due only to changes in abundance. The slope for abundance-d</w:t>
      </w:r>
      <w:r>
        <w:t xml:space="preserve">riven dynamics is significantly more negative than for the observed dynamics (interaction term p = 0.0013). </w:t>
      </w:r>
      <w:r>
        <w:rPr>
          <w:b/>
        </w:rPr>
        <w:t>B. Underlying changes in the ISD.</w:t>
      </w:r>
      <w:r>
        <w:t xml:space="preserve"> The individual size distributions for the first 5 years (solid lines) and last 5 years (dashed lines) of the times</w:t>
      </w:r>
      <w:r>
        <w:t>eries. The x-axis is body size (as mass in grams; note log scale) and the y-axis is probability density from a Gaussian mixture model fit to a vector of simulated individual masses for all individuals observed in the years in questions, standardized to sum</w:t>
      </w:r>
      <w:r>
        <w:t xml:space="preserve"> to 1. For the abundance-driven (blue) scenario, individuals’ species identities (which determine their body size estimates) are re-assigned at random weighte by each species’ mean relative abundance throughout the timeseries, resulting in a consistent ind</w:t>
      </w:r>
      <w:r>
        <w:t>ividual size distribution over time. For the observed (gold) scenario, individuals’ body sizes are estimated based actual species abundances at each time step. For this route, species composition has shifted over time and produced different ISDs for the “b</w:t>
      </w:r>
      <w:r>
        <w:t>egin” and “end” time periods. Specifically, the “end” ISD has peaks at larger body sizes (ca. 90g and 500g) not present in the “begin” ISD. This redistribution of density towards larger body sizes results in an overall increase in body size community wide,</w:t>
      </w:r>
      <w:r>
        <w:t xml:space="preserve"> which partially offsets declines in total biomass from those expected given change in abundance alone.</w:t>
      </w:r>
    </w:p>
    <w:p w14:paraId="63F15EF9" w14:textId="77777777" w:rsidR="00856DCA" w:rsidRDefault="00F31540">
      <w:r>
        <w:br w:type="page"/>
      </w:r>
    </w:p>
    <w:p w14:paraId="3DD57191" w14:textId="77777777" w:rsidR="00856DCA" w:rsidRDefault="00F31540">
      <w:r>
        <w:lastRenderedPageBreak/>
        <w:br w:type="page"/>
      </w:r>
    </w:p>
    <w:p w14:paraId="40728BDC" w14:textId="5859BF58" w:rsidR="00856DCA" w:rsidRDefault="00F31540">
      <w:pPr>
        <w:pStyle w:val="Heading1"/>
      </w:pPr>
      <w:bookmarkStart w:id="2" w:name="Xb1928d986f0a5590c4dec76178e233c0786cba2"/>
      <w:r>
        <w:lastRenderedPageBreak/>
        <w:t xml:space="preserve">Figure 2. </w:t>
      </w:r>
      <w:bookmarkEnd w:id="2"/>
    </w:p>
    <w:p w14:paraId="056C5C01" w14:textId="77777777" w:rsidR="00856DCA" w:rsidRDefault="00F31540">
      <w:r>
        <w:rPr>
          <w:noProof/>
        </w:rPr>
        <w:drawing>
          <wp:inline distT="0" distB="0" distL="0" distR="0" wp14:anchorId="4BDC0510" wp14:editId="52BB0B42">
            <wp:extent cx="4876800" cy="4876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s_and_tables_files/figure-docx/unnamed-chunk-5-1.png"/>
                    <pic:cNvPicPr>
                      <a:picLocks noChangeAspect="1" noChangeArrowheads="1"/>
                    </pic:cNvPicPr>
                  </pic:nvPicPr>
                  <pic:blipFill>
                    <a:blip r:embed="rId8"/>
                    <a:stretch>
                      <a:fillRect/>
                    </a:stretch>
                  </pic:blipFill>
                  <pic:spPr bwMode="auto">
                    <a:xfrm>
                      <a:off x="0" y="0"/>
                      <a:ext cx="4876800" cy="4876800"/>
                    </a:xfrm>
                    <a:prstGeom prst="rect">
                      <a:avLst/>
                    </a:prstGeom>
                    <a:noFill/>
                    <a:ln w="9525">
                      <a:noFill/>
                      <a:headEnd/>
                      <a:tailEnd/>
                    </a:ln>
                  </pic:spPr>
                </pic:pic>
              </a:graphicData>
            </a:graphic>
          </wp:inline>
        </w:drawing>
      </w:r>
    </w:p>
    <w:p w14:paraId="2912471D" w14:textId="69403AA2" w:rsidR="00856DCA" w:rsidRDefault="00F31540">
      <w:pPr>
        <w:pStyle w:val="Heading4"/>
      </w:pPr>
      <w:bookmarkStart w:id="3" w:name="Xdeec4fde0abb4914eb92aec12c8ab2e89cb5ae2"/>
      <w:r>
        <w:t xml:space="preserve">Figure 2. </w:t>
      </w:r>
      <w:bookmarkEnd w:id="3"/>
    </w:p>
    <w:p w14:paraId="3D3EF894" w14:textId="290ACC87" w:rsidR="00856DCA" w:rsidRDefault="00F31540">
      <w:r>
        <w:t>Histograms showing the direction and mag</w:t>
      </w:r>
      <w:r>
        <w:t xml:space="preserve">nitude of </w:t>
      </w:r>
      <w:r w:rsidR="00723A9D">
        <w:t>long-term trends</w:t>
      </w:r>
      <w:r w:rsidR="00631BD2">
        <w:t xml:space="preserve"> </w:t>
      </w:r>
      <w:r>
        <w:t>for the</w:t>
      </w:r>
      <w:r>
        <w:t xml:space="preserve"> abundance-driven</w:t>
      </w:r>
      <w:r>
        <w:t xml:space="preserve"> </w:t>
      </w:r>
      <w:r w:rsidR="00AE3C9D">
        <w:t>(null-model; l</w:t>
      </w:r>
      <w:r>
        <w:t>eft) and observed (right) changes in biomass (A) and energy use (B), for communities with a significant slope and/or interaction term (for biomass, 500/739 routes; for energy use, 509/739 routes). Chang</w:t>
      </w:r>
      <w:r>
        <w:t>e is summarized as the ratio of the fitted value for the last year in the time series to the fitted value for the first year in the timeseries from the best-fitting model for that community. Values greater than 1 (vertical black line) indicate increases in</w:t>
      </w:r>
      <w:r>
        <w:t xml:space="preserve"> total </w:t>
      </w:r>
      <w:r>
        <w:lastRenderedPageBreak/>
        <w:t>energy or biomass over time, and less than 1 indicate decreases. The abundance-driven dynamics (left) reflect the trends fit for the null model, while the observed dynamics (right) reflect trends incorporating both change in total abundance and chan</w:t>
      </w:r>
      <w:r>
        <w:t xml:space="preserve">ge in the size structure over time. For communities </w:t>
      </w:r>
      <w:r w:rsidR="00552F25">
        <w:t>best-described by syndromes of</w:t>
      </w:r>
      <w:r>
        <w:t xml:space="preserve"> </w:t>
      </w:r>
      <w:r w:rsidR="00552F25">
        <w:t>“coupled trends” or “no directional change”</w:t>
      </w:r>
      <w:r>
        <w:t xml:space="preserve">, the “abundance-driven” and “observed” ratios will be the same; </w:t>
      </w:r>
      <w:r w:rsidR="00E202B6">
        <w:t xml:space="preserve">for communities with “decoupled trends”, there will be different ratios for </w:t>
      </w:r>
      <w:r>
        <w:t xml:space="preserve">or “abundance-driven” and </w:t>
      </w:r>
      <w:r>
        <w:t>“observed” dynamics.</w:t>
      </w:r>
    </w:p>
    <w:p w14:paraId="33D325D3" w14:textId="737E87B1" w:rsidR="00856DCA" w:rsidRDefault="00F31540">
      <w:r>
        <w:t>Among routes with temporal trends</w:t>
      </w:r>
      <w:r w:rsidR="00C6558C">
        <w:t xml:space="preserve"> (“coupled trends” or “decoupled trends”)</w:t>
      </w:r>
      <w:r>
        <w:t xml:space="preserve">, there are qualitatively different continental-wide patterns in abundance-driven and observed dynamics for total biomass and total </w:t>
      </w:r>
      <w:r w:rsidR="00FF1750">
        <w:t>energy use</w:t>
      </w:r>
      <w:r>
        <w:t>. 70% of trends in abundance-driven</w:t>
      </w:r>
      <w:r w:rsidR="00D84A81">
        <w:t xml:space="preserve"> (null model)</w:t>
      </w:r>
      <w:r>
        <w:t xml:space="preserve"> dynamics for energy </w:t>
      </w:r>
      <w:r>
        <w:t xml:space="preserve">use are decreasing, and 67% for biomass. </w:t>
      </w:r>
      <w:r w:rsidR="00AB3361">
        <w:t>F</w:t>
      </w:r>
      <w:r>
        <w:t xml:space="preserve">or biomass, observed dynamics are balanced evenly between increases (49% of routes) and decreases (51%) - indicating that changes in the size structure produce qualitatively different long-term trends for </w:t>
      </w:r>
      <w:r>
        <w:t xml:space="preserve">biomass than would be expected given abundance changes alone. However, trends for energy use (which scales nonlinearly with biomass) are dominated by decreases (35% of routes), more closely mirroring the trends expected given changes in </w:t>
      </w:r>
      <w:r w:rsidR="00A40D95">
        <w:t>individual abundance alone</w:t>
      </w:r>
      <w:r>
        <w:t>.</w:t>
      </w:r>
    </w:p>
    <w:p w14:paraId="465EE43F" w14:textId="77777777" w:rsidR="00856DCA" w:rsidRDefault="00F31540">
      <w:r>
        <w:br w:type="page"/>
      </w:r>
    </w:p>
    <w:p w14:paraId="41672180" w14:textId="77777777" w:rsidR="00856DCA" w:rsidRDefault="00F31540">
      <w:pPr>
        <w:pStyle w:val="Heading1"/>
      </w:pPr>
      <w:bookmarkStart w:id="4" w:name="tables-model-outcomes"/>
      <w:r>
        <w:lastRenderedPageBreak/>
        <w:t>Tables</w:t>
      </w:r>
      <w:r>
        <w:t>: Model outcomes</w:t>
      </w:r>
      <w:bookmarkEnd w:id="4"/>
    </w:p>
    <w:p w14:paraId="2C7CF275" w14:textId="77777777" w:rsidR="00856DCA" w:rsidRDefault="00F31540">
      <w:pPr>
        <w:pStyle w:val="Heading3"/>
      </w:pPr>
      <w:bookmarkStart w:id="5" w:name="table-1."/>
      <w:r>
        <w:t>Table 1.</w:t>
      </w:r>
      <w:bookmarkEnd w:id="5"/>
    </w:p>
    <w:tbl>
      <w:tblPr>
        <w:tblW w:w="4475" w:type="pct"/>
        <w:tblLook w:val="07E0" w:firstRow="1" w:lastRow="1" w:firstColumn="1" w:lastColumn="1" w:noHBand="1" w:noVBand="1"/>
      </w:tblPr>
      <w:tblGrid>
        <w:gridCol w:w="1896"/>
        <w:gridCol w:w="2438"/>
        <w:gridCol w:w="1993"/>
        <w:gridCol w:w="2244"/>
      </w:tblGrid>
      <w:tr w:rsidR="00856DCA" w14:paraId="507DEE20" w14:textId="77777777" w:rsidTr="000D4E10">
        <w:tc>
          <w:tcPr>
            <w:tcW w:w="0" w:type="auto"/>
            <w:tcBorders>
              <w:bottom w:val="single" w:sz="0" w:space="0" w:color="auto"/>
            </w:tcBorders>
            <w:vAlign w:val="bottom"/>
          </w:tcPr>
          <w:p w14:paraId="506E4CDE" w14:textId="77777777" w:rsidR="00856DCA" w:rsidRDefault="00F31540">
            <w:r>
              <w:t>Currency</w:t>
            </w:r>
          </w:p>
        </w:tc>
        <w:tc>
          <w:tcPr>
            <w:tcW w:w="0" w:type="auto"/>
            <w:tcBorders>
              <w:bottom w:val="single" w:sz="0" w:space="0" w:color="auto"/>
            </w:tcBorders>
            <w:vAlign w:val="bottom"/>
          </w:tcPr>
          <w:p w14:paraId="3287BCBD" w14:textId="5147D3B8" w:rsidR="00856DCA" w:rsidRDefault="000D4E10">
            <w:r>
              <w:t>Syndrome</w:t>
            </w:r>
          </w:p>
        </w:tc>
        <w:tc>
          <w:tcPr>
            <w:tcW w:w="0" w:type="auto"/>
            <w:tcBorders>
              <w:bottom w:val="single" w:sz="0" w:space="0" w:color="auto"/>
            </w:tcBorders>
            <w:vAlign w:val="bottom"/>
          </w:tcPr>
          <w:p w14:paraId="1C605B34" w14:textId="77777777" w:rsidR="00856DCA" w:rsidRDefault="00F31540">
            <w:pPr>
              <w:jc w:val="right"/>
            </w:pPr>
            <w:r>
              <w:t>Number of routes</w:t>
            </w:r>
          </w:p>
        </w:tc>
        <w:tc>
          <w:tcPr>
            <w:tcW w:w="0" w:type="auto"/>
            <w:tcBorders>
              <w:bottom w:val="single" w:sz="0" w:space="0" w:color="auto"/>
            </w:tcBorders>
            <w:vAlign w:val="bottom"/>
          </w:tcPr>
          <w:p w14:paraId="3797AABD" w14:textId="77777777" w:rsidR="00856DCA" w:rsidRDefault="00F31540">
            <w:pPr>
              <w:jc w:val="right"/>
            </w:pPr>
            <w:r>
              <w:t>Proportion of routes</w:t>
            </w:r>
          </w:p>
        </w:tc>
      </w:tr>
      <w:tr w:rsidR="00856DCA" w14:paraId="0E1872FA" w14:textId="77777777" w:rsidTr="000D4E10">
        <w:tc>
          <w:tcPr>
            <w:tcW w:w="0" w:type="auto"/>
          </w:tcPr>
          <w:p w14:paraId="0A2516D2" w14:textId="77777777" w:rsidR="00856DCA" w:rsidRDefault="00F31540">
            <w:r>
              <w:t>Total biomass</w:t>
            </w:r>
          </w:p>
        </w:tc>
        <w:tc>
          <w:tcPr>
            <w:tcW w:w="0" w:type="auto"/>
          </w:tcPr>
          <w:p w14:paraId="4BE93DEC" w14:textId="6805DBF1" w:rsidR="00856DCA" w:rsidRDefault="000D4E10">
            <w:r>
              <w:t>No directional change</w:t>
            </w:r>
          </w:p>
        </w:tc>
        <w:tc>
          <w:tcPr>
            <w:tcW w:w="0" w:type="auto"/>
          </w:tcPr>
          <w:p w14:paraId="4DF95316" w14:textId="77777777" w:rsidR="00856DCA" w:rsidRDefault="00F31540">
            <w:pPr>
              <w:jc w:val="right"/>
            </w:pPr>
            <w:r>
              <w:t>239</w:t>
            </w:r>
          </w:p>
        </w:tc>
        <w:tc>
          <w:tcPr>
            <w:tcW w:w="0" w:type="auto"/>
          </w:tcPr>
          <w:p w14:paraId="70F5505A" w14:textId="77777777" w:rsidR="00856DCA" w:rsidRDefault="00F31540">
            <w:pPr>
              <w:jc w:val="right"/>
            </w:pPr>
            <w:r>
              <w:t>0.32</w:t>
            </w:r>
          </w:p>
        </w:tc>
      </w:tr>
      <w:tr w:rsidR="00856DCA" w14:paraId="484DB7AD" w14:textId="77777777" w:rsidTr="000D4E10">
        <w:tc>
          <w:tcPr>
            <w:tcW w:w="0" w:type="auto"/>
          </w:tcPr>
          <w:p w14:paraId="5AFF920C" w14:textId="77777777" w:rsidR="00856DCA" w:rsidRDefault="00F31540">
            <w:r>
              <w:t>Total biomass</w:t>
            </w:r>
          </w:p>
        </w:tc>
        <w:tc>
          <w:tcPr>
            <w:tcW w:w="0" w:type="auto"/>
          </w:tcPr>
          <w:p w14:paraId="1992BD2A" w14:textId="1C3D8B9D" w:rsidR="00856DCA" w:rsidRDefault="000D4E10">
            <w:r>
              <w:t>Coupled trend</w:t>
            </w:r>
          </w:p>
        </w:tc>
        <w:tc>
          <w:tcPr>
            <w:tcW w:w="0" w:type="auto"/>
          </w:tcPr>
          <w:p w14:paraId="2D6FAFD4" w14:textId="77777777" w:rsidR="00856DCA" w:rsidRDefault="00F31540">
            <w:pPr>
              <w:jc w:val="right"/>
            </w:pPr>
            <w:r>
              <w:t>351</w:t>
            </w:r>
          </w:p>
        </w:tc>
        <w:tc>
          <w:tcPr>
            <w:tcW w:w="0" w:type="auto"/>
          </w:tcPr>
          <w:p w14:paraId="30B91B01" w14:textId="77777777" w:rsidR="00856DCA" w:rsidRDefault="00F31540">
            <w:pPr>
              <w:jc w:val="right"/>
            </w:pPr>
            <w:r>
              <w:t>0.47</w:t>
            </w:r>
          </w:p>
        </w:tc>
      </w:tr>
      <w:tr w:rsidR="00856DCA" w14:paraId="2D78E786" w14:textId="77777777" w:rsidTr="000D4E10">
        <w:tc>
          <w:tcPr>
            <w:tcW w:w="0" w:type="auto"/>
          </w:tcPr>
          <w:p w14:paraId="688C382B" w14:textId="77777777" w:rsidR="00856DCA" w:rsidRDefault="00F31540">
            <w:r>
              <w:t>Total biomass</w:t>
            </w:r>
          </w:p>
        </w:tc>
        <w:tc>
          <w:tcPr>
            <w:tcW w:w="0" w:type="auto"/>
          </w:tcPr>
          <w:p w14:paraId="6653BF08" w14:textId="77777777" w:rsidR="00856DCA" w:rsidRDefault="00F31540">
            <w:r>
              <w:t>Decoupled trend</w:t>
            </w:r>
          </w:p>
        </w:tc>
        <w:tc>
          <w:tcPr>
            <w:tcW w:w="0" w:type="auto"/>
          </w:tcPr>
          <w:p w14:paraId="35D487F3" w14:textId="77777777" w:rsidR="00856DCA" w:rsidRDefault="00F31540">
            <w:pPr>
              <w:jc w:val="right"/>
            </w:pPr>
            <w:r>
              <w:t>149</w:t>
            </w:r>
          </w:p>
        </w:tc>
        <w:tc>
          <w:tcPr>
            <w:tcW w:w="0" w:type="auto"/>
          </w:tcPr>
          <w:p w14:paraId="35703A4A" w14:textId="77777777" w:rsidR="00856DCA" w:rsidRDefault="00F31540">
            <w:pPr>
              <w:jc w:val="right"/>
            </w:pPr>
            <w:r>
              <w:t>0.20</w:t>
            </w:r>
          </w:p>
        </w:tc>
      </w:tr>
      <w:tr w:rsidR="000D4E10" w14:paraId="7E20773C" w14:textId="77777777" w:rsidTr="000D4E10">
        <w:tc>
          <w:tcPr>
            <w:tcW w:w="0" w:type="auto"/>
          </w:tcPr>
          <w:p w14:paraId="1256D3D4" w14:textId="240A3A27" w:rsidR="000D4E10" w:rsidRDefault="000D4E10" w:rsidP="000D4E10">
            <w:r>
              <w:t xml:space="preserve">Total </w:t>
            </w:r>
            <w:r w:rsidR="00FF1750">
              <w:t>energy use</w:t>
            </w:r>
          </w:p>
        </w:tc>
        <w:tc>
          <w:tcPr>
            <w:tcW w:w="0" w:type="auto"/>
          </w:tcPr>
          <w:p w14:paraId="28091ED2" w14:textId="25FFA8B4" w:rsidR="000D4E10" w:rsidRDefault="000D4E10" w:rsidP="000D4E10">
            <w:r>
              <w:t>No directional change</w:t>
            </w:r>
          </w:p>
        </w:tc>
        <w:tc>
          <w:tcPr>
            <w:tcW w:w="0" w:type="auto"/>
          </w:tcPr>
          <w:p w14:paraId="00F0179D" w14:textId="77777777" w:rsidR="000D4E10" w:rsidRDefault="000D4E10" w:rsidP="000D4E10">
            <w:pPr>
              <w:jc w:val="right"/>
            </w:pPr>
            <w:r>
              <w:t>230</w:t>
            </w:r>
          </w:p>
        </w:tc>
        <w:tc>
          <w:tcPr>
            <w:tcW w:w="0" w:type="auto"/>
          </w:tcPr>
          <w:p w14:paraId="15C693CA" w14:textId="77777777" w:rsidR="000D4E10" w:rsidRDefault="000D4E10" w:rsidP="000D4E10">
            <w:pPr>
              <w:jc w:val="right"/>
            </w:pPr>
            <w:r>
              <w:t>0.31</w:t>
            </w:r>
          </w:p>
        </w:tc>
      </w:tr>
      <w:tr w:rsidR="000D4E10" w14:paraId="62FB19BA" w14:textId="77777777" w:rsidTr="000D4E10">
        <w:tc>
          <w:tcPr>
            <w:tcW w:w="0" w:type="auto"/>
          </w:tcPr>
          <w:p w14:paraId="3E8B2FBF" w14:textId="5168E896" w:rsidR="000D4E10" w:rsidRDefault="000D4E10" w:rsidP="000D4E10">
            <w:r>
              <w:t xml:space="preserve">Total </w:t>
            </w:r>
            <w:r w:rsidR="00FF1750">
              <w:t>energy use</w:t>
            </w:r>
          </w:p>
        </w:tc>
        <w:tc>
          <w:tcPr>
            <w:tcW w:w="0" w:type="auto"/>
          </w:tcPr>
          <w:p w14:paraId="7CB386AD" w14:textId="4926F488" w:rsidR="000D4E10" w:rsidRDefault="000D4E10" w:rsidP="000D4E10">
            <w:r>
              <w:t>Coupled trend</w:t>
            </w:r>
          </w:p>
        </w:tc>
        <w:tc>
          <w:tcPr>
            <w:tcW w:w="0" w:type="auto"/>
          </w:tcPr>
          <w:p w14:paraId="0E42A851" w14:textId="77777777" w:rsidR="000D4E10" w:rsidRDefault="000D4E10" w:rsidP="000D4E10">
            <w:pPr>
              <w:jc w:val="right"/>
            </w:pPr>
            <w:r>
              <w:t>456</w:t>
            </w:r>
          </w:p>
        </w:tc>
        <w:tc>
          <w:tcPr>
            <w:tcW w:w="0" w:type="auto"/>
          </w:tcPr>
          <w:p w14:paraId="2E3FDC81" w14:textId="77777777" w:rsidR="000D4E10" w:rsidRDefault="000D4E10" w:rsidP="000D4E10">
            <w:pPr>
              <w:jc w:val="right"/>
            </w:pPr>
            <w:r>
              <w:t>0.62</w:t>
            </w:r>
          </w:p>
        </w:tc>
      </w:tr>
      <w:tr w:rsidR="00856DCA" w14:paraId="149677DD" w14:textId="77777777" w:rsidTr="000D4E10">
        <w:tc>
          <w:tcPr>
            <w:tcW w:w="0" w:type="auto"/>
          </w:tcPr>
          <w:p w14:paraId="5616DEBE" w14:textId="2C0A5AAE" w:rsidR="00856DCA" w:rsidRDefault="00F31540">
            <w:r>
              <w:t xml:space="preserve">Total </w:t>
            </w:r>
            <w:r w:rsidR="00FF1750">
              <w:t>energy use</w:t>
            </w:r>
          </w:p>
        </w:tc>
        <w:tc>
          <w:tcPr>
            <w:tcW w:w="0" w:type="auto"/>
          </w:tcPr>
          <w:p w14:paraId="466C07A0" w14:textId="77777777" w:rsidR="00856DCA" w:rsidRDefault="00F31540">
            <w:r>
              <w:t>Decoupled trend</w:t>
            </w:r>
          </w:p>
        </w:tc>
        <w:tc>
          <w:tcPr>
            <w:tcW w:w="0" w:type="auto"/>
          </w:tcPr>
          <w:p w14:paraId="396D4E7B" w14:textId="77777777" w:rsidR="00856DCA" w:rsidRDefault="00F31540">
            <w:pPr>
              <w:jc w:val="right"/>
            </w:pPr>
            <w:r>
              <w:t>53</w:t>
            </w:r>
          </w:p>
        </w:tc>
        <w:tc>
          <w:tcPr>
            <w:tcW w:w="0" w:type="auto"/>
          </w:tcPr>
          <w:p w14:paraId="316897DB" w14:textId="77777777" w:rsidR="00856DCA" w:rsidRDefault="00F31540">
            <w:pPr>
              <w:jc w:val="right"/>
            </w:pPr>
            <w:r>
              <w:t>0.07</w:t>
            </w:r>
          </w:p>
        </w:tc>
      </w:tr>
    </w:tbl>
    <w:p w14:paraId="6B8121D0" w14:textId="2AEDE826" w:rsidR="00856DCA" w:rsidRDefault="00F31540">
      <w:pPr>
        <w:pStyle w:val="Heading4"/>
      </w:pPr>
      <w:bookmarkStart w:id="6" w:name="table-1.-selected-models."/>
      <w:r>
        <w:t xml:space="preserve">Table 1. </w:t>
      </w:r>
      <w:bookmarkEnd w:id="6"/>
    </w:p>
    <w:p w14:paraId="53FB222C" w14:textId="38F8D9C2" w:rsidR="00856DCA" w:rsidRDefault="00F31540">
      <w:r>
        <w:t>Table of the number and proportion of routes whose dynamics for total biomass and total energy use are best</w:t>
      </w:r>
      <w:r w:rsidR="00925659">
        <w:t xml:space="preserve"> described by the following syndromes:</w:t>
      </w:r>
      <w:r>
        <w:t xml:space="preserve"> </w:t>
      </w:r>
      <w:r>
        <w:t xml:space="preserve">no </w:t>
      </w:r>
      <w:r w:rsidR="0000039A">
        <w:t>directional change</w:t>
      </w:r>
      <w:r w:rsidR="00925659">
        <w:t xml:space="preserve"> </w:t>
      </w:r>
      <w:r>
        <w:t xml:space="preserve">(intercept-only model, </w:t>
      </w:r>
      <w:r w:rsidR="00925659" w:rsidRPr="00925659">
        <w:rPr>
          <w:i/>
          <w:iCs/>
        </w:rPr>
        <w:t>biomass</w:t>
      </w:r>
      <w:r w:rsidRPr="00925659">
        <w:rPr>
          <w:i/>
          <w:iCs/>
        </w:rPr>
        <w:t xml:space="preserve"> ~ 1</w:t>
      </w:r>
      <w:r w:rsidR="00925659">
        <w:rPr>
          <w:i/>
          <w:iCs/>
        </w:rPr>
        <w:t xml:space="preserve"> </w:t>
      </w:r>
      <w:r w:rsidR="00925659">
        <w:t xml:space="preserve">or </w:t>
      </w:r>
      <w:r w:rsidR="00925659">
        <w:rPr>
          <w:i/>
          <w:iCs/>
        </w:rPr>
        <w:t>energy use</w:t>
      </w:r>
      <w:r w:rsidR="00925659" w:rsidRPr="00925659">
        <w:rPr>
          <w:i/>
          <w:iCs/>
        </w:rPr>
        <w:t xml:space="preserve"> ~ 1</w:t>
      </w:r>
      <w:r>
        <w:t xml:space="preserve">); </w:t>
      </w:r>
      <w:r w:rsidR="00925659">
        <w:t>a coupled trend</w:t>
      </w:r>
      <w:r>
        <w:t xml:space="preserve"> (</w:t>
      </w:r>
      <w:r w:rsidR="00397A01" w:rsidRPr="00925659">
        <w:rPr>
          <w:i/>
          <w:iCs/>
        </w:rPr>
        <w:t xml:space="preserve">biomass </w:t>
      </w:r>
      <w:proofErr w:type="gramStart"/>
      <w:r w:rsidR="00397A01" w:rsidRPr="00925659">
        <w:rPr>
          <w:i/>
          <w:iCs/>
        </w:rPr>
        <w:t xml:space="preserve">~ </w:t>
      </w:r>
      <w:r w:rsidRPr="00397A01">
        <w:rPr>
          <w:i/>
          <w:iCs/>
        </w:rPr>
        <w:t xml:space="preserve"> </w:t>
      </w:r>
      <w:r w:rsidR="00397A01" w:rsidRPr="00397A01">
        <w:rPr>
          <w:i/>
          <w:iCs/>
        </w:rPr>
        <w:t>year</w:t>
      </w:r>
      <w:proofErr w:type="gramEnd"/>
      <w:r w:rsidR="00397A01">
        <w:rPr>
          <w:i/>
          <w:iCs/>
        </w:rPr>
        <w:t xml:space="preserve"> </w:t>
      </w:r>
      <w:r w:rsidR="00397A01">
        <w:t xml:space="preserve">or </w:t>
      </w:r>
      <w:r w:rsidR="00397A01">
        <w:rPr>
          <w:i/>
          <w:iCs/>
        </w:rPr>
        <w:t>energy use ~ year</w:t>
      </w:r>
      <w:r>
        <w:t>); or a model with decoupled temporal trends for observed and abundance-driven dynamics (</w:t>
      </w:r>
      <w:r w:rsidR="006044DF">
        <w:rPr>
          <w:i/>
          <w:iCs/>
        </w:rPr>
        <w:t xml:space="preserve">biomass ~ year *  dynamics </w:t>
      </w:r>
      <w:r w:rsidR="006044DF">
        <w:t xml:space="preserve">or </w:t>
      </w:r>
      <w:r w:rsidR="006044DF">
        <w:rPr>
          <w:i/>
          <w:iCs/>
        </w:rPr>
        <w:t>energy use ~ year * dynamics</w:t>
      </w:r>
      <w:r>
        <w:t xml:space="preserve">, where </w:t>
      </w:r>
      <w:r w:rsidRPr="006044DF">
        <w:rPr>
          <w:i/>
          <w:iCs/>
        </w:rPr>
        <w:t>dynamics</w:t>
      </w:r>
      <w:r>
        <w:t xml:space="preserve"> </w:t>
      </w:r>
      <w:r w:rsidR="006044DF">
        <w:t>refers to observed or null model, abundance-driven dynamics</w:t>
      </w:r>
      <w:r>
        <w:t>).</w:t>
      </w:r>
    </w:p>
    <w:p w14:paraId="645AC454" w14:textId="07B34AFE" w:rsidR="00BA4B6C" w:rsidRDefault="00F31540">
      <w:r>
        <w:t>31-32%</w:t>
      </w:r>
      <w:r>
        <w:t xml:space="preserve"> of routes</w:t>
      </w:r>
      <w:r w:rsidR="000E3C1A">
        <w:t xml:space="preserve"> are best described as syndromes of “No directional change” (intercept-only models)</w:t>
      </w:r>
      <w:r>
        <w:t>. For the remaining routes, in most instances, the dynamics of biomass and energy use exhibit a temporal trend, but with no detectable difference in the temporal trends for abunda</w:t>
      </w:r>
      <w:r>
        <w:t>nce-</w:t>
      </w:r>
      <w:r>
        <w:lastRenderedPageBreak/>
        <w:t>driven and observed dynamics</w:t>
      </w:r>
      <w:r w:rsidR="009E0105">
        <w:t xml:space="preserve"> (“Coupled trends”)</w:t>
      </w:r>
      <w:r>
        <w:t>. However, for a substantial minority of routes (20% overall for biomass, or 30% of routes with a temporal trend; 7% overall for energy use, or 10% of routes with a temporal trend), there is a detectable deviation between th</w:t>
      </w:r>
      <w:r>
        <w:t>e trends expected due only to changes in abundance and the observed dynamics</w:t>
      </w:r>
      <w:r w:rsidR="005755C3">
        <w:t xml:space="preserve"> (“Decoupled trends”)</w:t>
      </w:r>
      <w:r>
        <w:t>.</w:t>
      </w:r>
    </w:p>
    <w:p w14:paraId="0450A574" w14:textId="77777777" w:rsidR="00BA4B6C" w:rsidRDefault="00BA4B6C">
      <w:pPr>
        <w:spacing w:before="0" w:after="0" w:line="276" w:lineRule="auto"/>
      </w:pPr>
      <w:r>
        <w:br w:type="page"/>
      </w:r>
    </w:p>
    <w:p w14:paraId="5B91E962" w14:textId="77777777" w:rsidR="00856DCA" w:rsidRDefault="00856DCA"/>
    <w:p w14:paraId="092ABC43" w14:textId="77777777" w:rsidR="00856DCA" w:rsidRDefault="00F31540">
      <w:pPr>
        <w:pStyle w:val="Heading3"/>
      </w:pPr>
      <w:bookmarkStart w:id="7" w:name="table-2."/>
      <w:r>
        <w:t>Table 2.</w:t>
      </w:r>
      <w:bookmarkEnd w:id="7"/>
    </w:p>
    <w:tbl>
      <w:tblPr>
        <w:tblW w:w="5000" w:type="pct"/>
        <w:tblLook w:val="07E0" w:firstRow="1" w:lastRow="1" w:firstColumn="1" w:lastColumn="1" w:noHBand="1" w:noVBand="1"/>
      </w:tblPr>
      <w:tblGrid>
        <w:gridCol w:w="1446"/>
        <w:gridCol w:w="3066"/>
        <w:gridCol w:w="2617"/>
        <w:gridCol w:w="2447"/>
      </w:tblGrid>
      <w:tr w:rsidR="00856DCA" w14:paraId="32D05068" w14:textId="77777777">
        <w:tc>
          <w:tcPr>
            <w:tcW w:w="0" w:type="auto"/>
            <w:tcBorders>
              <w:bottom w:val="single" w:sz="0" w:space="0" w:color="auto"/>
            </w:tcBorders>
            <w:vAlign w:val="bottom"/>
          </w:tcPr>
          <w:p w14:paraId="4784FF7A" w14:textId="77777777" w:rsidR="00856DCA" w:rsidRDefault="00F31540">
            <w:r>
              <w:t>Currency</w:t>
            </w:r>
          </w:p>
        </w:tc>
        <w:tc>
          <w:tcPr>
            <w:tcW w:w="0" w:type="auto"/>
            <w:tcBorders>
              <w:bottom w:val="single" w:sz="0" w:space="0" w:color="auto"/>
            </w:tcBorders>
            <w:vAlign w:val="bottom"/>
          </w:tcPr>
          <w:p w14:paraId="5449BA72" w14:textId="77777777" w:rsidR="00856DCA" w:rsidRDefault="00F31540">
            <w:pPr>
              <w:jc w:val="right"/>
            </w:pPr>
            <w:r>
              <w:t>Proportion of increasing abundance-driven trends</w:t>
            </w:r>
          </w:p>
        </w:tc>
        <w:tc>
          <w:tcPr>
            <w:tcW w:w="0" w:type="auto"/>
            <w:tcBorders>
              <w:bottom w:val="single" w:sz="0" w:space="0" w:color="auto"/>
            </w:tcBorders>
            <w:vAlign w:val="bottom"/>
          </w:tcPr>
          <w:p w14:paraId="2B827A10" w14:textId="77777777" w:rsidR="00856DCA" w:rsidRDefault="00F31540">
            <w:pPr>
              <w:jc w:val="right"/>
            </w:pPr>
            <w:r>
              <w:t>Proportion of increasing observed trends</w:t>
            </w:r>
          </w:p>
        </w:tc>
        <w:tc>
          <w:tcPr>
            <w:tcW w:w="0" w:type="auto"/>
            <w:tcBorders>
              <w:bottom w:val="single" w:sz="0" w:space="0" w:color="auto"/>
            </w:tcBorders>
            <w:vAlign w:val="bottom"/>
          </w:tcPr>
          <w:p w14:paraId="479178B3" w14:textId="77777777" w:rsidR="00856DCA" w:rsidRDefault="00F31540">
            <w:pPr>
              <w:jc w:val="right"/>
            </w:pPr>
            <w:r>
              <w:t>Number of routes with temporal trends</w:t>
            </w:r>
          </w:p>
        </w:tc>
      </w:tr>
      <w:tr w:rsidR="00856DCA" w14:paraId="036D6804" w14:textId="77777777">
        <w:tc>
          <w:tcPr>
            <w:tcW w:w="0" w:type="auto"/>
          </w:tcPr>
          <w:p w14:paraId="7CA97667" w14:textId="77777777" w:rsidR="00856DCA" w:rsidRDefault="00F31540">
            <w:r>
              <w:t>Total biomass</w:t>
            </w:r>
          </w:p>
        </w:tc>
        <w:tc>
          <w:tcPr>
            <w:tcW w:w="0" w:type="auto"/>
          </w:tcPr>
          <w:p w14:paraId="0C303858" w14:textId="77777777" w:rsidR="00856DCA" w:rsidRDefault="00F31540">
            <w:pPr>
              <w:jc w:val="right"/>
            </w:pPr>
            <w:r>
              <w:t>0.33</w:t>
            </w:r>
          </w:p>
        </w:tc>
        <w:tc>
          <w:tcPr>
            <w:tcW w:w="0" w:type="auto"/>
          </w:tcPr>
          <w:p w14:paraId="30EE433D" w14:textId="77777777" w:rsidR="00856DCA" w:rsidRDefault="00F31540">
            <w:pPr>
              <w:jc w:val="right"/>
            </w:pPr>
            <w:r>
              <w:t>0.49</w:t>
            </w:r>
          </w:p>
        </w:tc>
        <w:tc>
          <w:tcPr>
            <w:tcW w:w="0" w:type="auto"/>
          </w:tcPr>
          <w:p w14:paraId="3F9648A3" w14:textId="77777777" w:rsidR="00856DCA" w:rsidRDefault="00F31540">
            <w:pPr>
              <w:jc w:val="right"/>
            </w:pPr>
            <w:r>
              <w:t>500</w:t>
            </w:r>
          </w:p>
        </w:tc>
      </w:tr>
      <w:tr w:rsidR="00856DCA" w14:paraId="5B373B80" w14:textId="77777777">
        <w:tc>
          <w:tcPr>
            <w:tcW w:w="0" w:type="auto"/>
          </w:tcPr>
          <w:p w14:paraId="173C09EB" w14:textId="6E22EFB0" w:rsidR="00856DCA" w:rsidRDefault="00F31540">
            <w:r>
              <w:t xml:space="preserve">Total </w:t>
            </w:r>
            <w:r w:rsidR="00FF1750">
              <w:t>energy use</w:t>
            </w:r>
          </w:p>
        </w:tc>
        <w:tc>
          <w:tcPr>
            <w:tcW w:w="0" w:type="auto"/>
          </w:tcPr>
          <w:p w14:paraId="75553324" w14:textId="77777777" w:rsidR="00856DCA" w:rsidRDefault="00F31540">
            <w:pPr>
              <w:jc w:val="right"/>
            </w:pPr>
            <w:r>
              <w:t>0.30</w:t>
            </w:r>
          </w:p>
        </w:tc>
        <w:tc>
          <w:tcPr>
            <w:tcW w:w="0" w:type="auto"/>
          </w:tcPr>
          <w:p w14:paraId="6097E3D0" w14:textId="77777777" w:rsidR="00856DCA" w:rsidRDefault="00F31540">
            <w:pPr>
              <w:jc w:val="right"/>
            </w:pPr>
            <w:r>
              <w:t>0.35</w:t>
            </w:r>
          </w:p>
        </w:tc>
        <w:tc>
          <w:tcPr>
            <w:tcW w:w="0" w:type="auto"/>
          </w:tcPr>
          <w:p w14:paraId="3E0B8698" w14:textId="77777777" w:rsidR="00856DCA" w:rsidRDefault="00F31540">
            <w:pPr>
              <w:jc w:val="right"/>
            </w:pPr>
            <w:r>
              <w:t>509</w:t>
            </w:r>
          </w:p>
        </w:tc>
      </w:tr>
    </w:tbl>
    <w:p w14:paraId="70F285DF" w14:textId="3D07B503" w:rsidR="00856DCA" w:rsidRDefault="00F31540">
      <w:pPr>
        <w:pStyle w:val="Heading4"/>
      </w:pPr>
      <w:bookmarkStart w:id="8" w:name="X7cf9e2c66cae91482f0f316d0c0dac24358c362"/>
      <w:r>
        <w:t xml:space="preserve">Table 2. </w:t>
      </w:r>
      <w:bookmarkEnd w:id="8"/>
    </w:p>
    <w:p w14:paraId="2306BD31" w14:textId="660AB79E" w:rsidR="00856DCA" w:rsidRDefault="00F31540">
      <w:r>
        <w:t xml:space="preserve">Restricted to the routes exhibiting temporal trends in total biomass and total </w:t>
      </w:r>
      <w:r w:rsidR="00FF1750">
        <w:t>energy use</w:t>
      </w:r>
      <w:r>
        <w:t>, the proportion of trends that are increasing (specifically, the ratio of the las</w:t>
      </w:r>
      <w:r>
        <w:t>t fitted value to the first fitted value &gt; 1) for abundance-driven and observed dynamics. Trends that are not increasing are decreasing.</w:t>
      </w:r>
    </w:p>
    <w:p w14:paraId="5494B9F8" w14:textId="2466EA2C" w:rsidR="00856DCA" w:rsidRDefault="00F31540">
      <w:r>
        <w:t xml:space="preserve">Trends in abundance-driven dynamics are dominated by </w:t>
      </w:r>
      <w:r w:rsidRPr="00BF27EB">
        <w:rPr>
          <w:iCs/>
        </w:rPr>
        <w:t>declines</w:t>
      </w:r>
      <w:r>
        <w:t xml:space="preserve"> (67% of routes for total biomass, and 70% of routes for t</w:t>
      </w:r>
      <w:r>
        <w:t>otal energy). Observed dynamics for biomass differ qualitatively from the abundance-driven</w:t>
      </w:r>
      <w:r>
        <w:t xml:space="preserve"> dynamics</w:t>
      </w:r>
      <w:r w:rsidR="006C507C">
        <w:t>.</w:t>
      </w:r>
      <w:r>
        <w:t xml:space="preserve"> </w:t>
      </w:r>
      <w:r w:rsidR="005D1C7E">
        <w:t>Specifically, o</w:t>
      </w:r>
      <w:r>
        <w:t>bserved trends in biomass are evenly divided between increases and decreases (49% increasing). Observed trends in energy use more closely mirror abundance</w:t>
      </w:r>
      <w:r>
        <w:t>-driven trends (65% declines).</w:t>
      </w:r>
    </w:p>
    <w:p w14:paraId="68AF4FA2" w14:textId="77777777" w:rsidR="00856DCA" w:rsidRDefault="00F31540">
      <w:r>
        <w:br w:type="page"/>
      </w:r>
    </w:p>
    <w:p w14:paraId="288EF350" w14:textId="269B3D41" w:rsidR="00856DCA" w:rsidRDefault="00F31540">
      <w:pPr>
        <w:pStyle w:val="Heading1"/>
      </w:pPr>
      <w:bookmarkStart w:id="9" w:name="figure-3.-visualizing-decoupling"/>
      <w:r>
        <w:lastRenderedPageBreak/>
        <w:t xml:space="preserve">Figure 3. </w:t>
      </w:r>
      <w:bookmarkEnd w:id="9"/>
    </w:p>
    <w:p w14:paraId="0F190867" w14:textId="77777777" w:rsidR="00856DCA" w:rsidRDefault="00F31540">
      <w:r>
        <w:rPr>
          <w:noProof/>
        </w:rPr>
        <w:drawing>
          <wp:inline distT="0" distB="0" distL="0" distR="0" wp14:anchorId="6CABB1A6" wp14:editId="11CB22DF">
            <wp:extent cx="5943600" cy="324196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s_and_tables_files/figure-docx/unnamed-chunk-8-1.png"/>
                    <pic:cNvPicPr>
                      <a:picLocks noChangeAspect="1" noChangeArrowheads="1"/>
                    </pic:cNvPicPr>
                  </pic:nvPicPr>
                  <pic:blipFill>
                    <a:blip r:embed="rId9"/>
                    <a:stretch>
                      <a:fillRect/>
                    </a:stretch>
                  </pic:blipFill>
                  <pic:spPr bwMode="auto">
                    <a:xfrm>
                      <a:off x="0" y="0"/>
                      <a:ext cx="5943600" cy="3241963"/>
                    </a:xfrm>
                    <a:prstGeom prst="rect">
                      <a:avLst/>
                    </a:prstGeom>
                    <a:noFill/>
                    <a:ln w="9525">
                      <a:noFill/>
                      <a:headEnd/>
                      <a:tailEnd/>
                    </a:ln>
                  </pic:spPr>
                </pic:pic>
              </a:graphicData>
            </a:graphic>
          </wp:inline>
        </w:drawing>
      </w:r>
    </w:p>
    <w:p w14:paraId="4E63FDB5" w14:textId="14EF74DD" w:rsidR="00856DCA" w:rsidRDefault="00F31540">
      <w:pPr>
        <w:pStyle w:val="Heading4"/>
      </w:pPr>
      <w:bookmarkStart w:id="10" w:name="X789e5a960792e8dde223201740b01f26d2f25ba"/>
      <w:r>
        <w:t xml:space="preserve">Figure 3. </w:t>
      </w:r>
      <w:bookmarkEnd w:id="10"/>
    </w:p>
    <w:p w14:paraId="6D08DB9F" w14:textId="5071E132" w:rsidR="00856DCA" w:rsidRDefault="00F31540">
      <w:r>
        <w:t xml:space="preserve">Observed change (ratio of last fitted value to first fitted value, y-axis) in total biomass (left) and total </w:t>
      </w:r>
      <w:r w:rsidR="00FF1750">
        <w:t>energy use</w:t>
      </w:r>
      <w:r>
        <w:t xml:space="preserve"> (right) compared to the change expected only due to changes in total abundance (ratio of last fitted value to first fitted value, x-</w:t>
      </w:r>
      <w:r>
        <w:t>axis). Values greater than 1 (dashed horizontal and vertical lines) mark positive (increasing) trends, while values less than 1 are negative trends. Each point marks the fitted values from a Gamma log-link generalized linear model of the form response ~ ye</w:t>
      </w:r>
      <w:r>
        <w:t xml:space="preserve">ar * dynamics for a given route. This estimates separate long-term slopes for observed and abundance-driven dynamics. Points are colored corresponding to the </w:t>
      </w:r>
      <w:r w:rsidR="00267E52">
        <w:t xml:space="preserve">syndrome of change </w:t>
      </w:r>
      <w:r w:rsidR="00437566">
        <w:t>identified</w:t>
      </w:r>
      <w:r>
        <w:t xml:space="preserve"> for each route. Deviations from the 1:1 line (solid black line) reflect changes in the community size stru</w:t>
      </w:r>
      <w:r>
        <w:t>cture that modulate the relationship between total abundance and total biomass or energy use.</w:t>
      </w:r>
    </w:p>
    <w:p w14:paraId="07DE5EEC" w14:textId="77E004FF" w:rsidR="00856DCA" w:rsidRDefault="00F31540">
      <w:r>
        <w:lastRenderedPageBreak/>
        <w:t>Changes in total biomass and total energy use generally track changes driven by fluctuations in total abundance, with appreciable scatter around the 1:1 line. Whe</w:t>
      </w:r>
      <w:r>
        <w:t>n this translates into a statistically detectable decoupling between observed and abundance-driven dynamics (</w:t>
      </w:r>
      <w:r w:rsidR="00FB418D">
        <w:t xml:space="preserve">a syndrome of </w:t>
      </w:r>
      <w:r>
        <w:t>“Decoupled trends”), this is usually in the form of abundance-driven change being more negative (a steeper decline or a smaller increase) than obse</w:t>
      </w:r>
      <w:r>
        <w:t xml:space="preserve">rved change in biomass or energy use (a less steep decline or larger increase), resulting in points falling above and to the left of the 1:1 line. This occurs more strongly and frequently for biomass than for </w:t>
      </w:r>
      <w:r w:rsidR="00FF1750">
        <w:t>energy use</w:t>
      </w:r>
      <w:r>
        <w:t>.</w:t>
      </w:r>
    </w:p>
    <w:p w14:paraId="78EC3675" w14:textId="77777777" w:rsidR="00856DCA" w:rsidRDefault="00856DCA"/>
    <w:p w14:paraId="209A017C" w14:textId="77777777" w:rsidR="00105A8F" w:rsidRDefault="00105A8F">
      <w:pPr>
        <w:spacing w:before="0" w:after="0" w:line="276" w:lineRule="auto"/>
        <w:rPr>
          <w:b/>
        </w:rPr>
      </w:pPr>
      <w:bookmarkStart w:id="11" w:name="Xa0785c6085fcc02dcc5e58fbd064fda7210e45f"/>
      <w:r>
        <w:br w:type="page"/>
      </w:r>
    </w:p>
    <w:p w14:paraId="18F22596" w14:textId="4F37B0D6" w:rsidR="00856DCA" w:rsidRDefault="00F31540">
      <w:pPr>
        <w:pStyle w:val="Heading1"/>
      </w:pPr>
      <w:r>
        <w:lastRenderedPageBreak/>
        <w:t xml:space="preserve">Figure 4. </w:t>
      </w:r>
      <w:bookmarkEnd w:id="11"/>
    </w:p>
    <w:p w14:paraId="1C98A15E" w14:textId="77777777" w:rsidR="00856DCA" w:rsidRDefault="00F31540">
      <w:r>
        <w:rPr>
          <w:noProof/>
        </w:rPr>
        <w:drawing>
          <wp:inline distT="0" distB="0" distL="0" distR="0" wp14:anchorId="39057857" wp14:editId="21E66558">
            <wp:extent cx="5943600" cy="34671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ures_and_tables_files/figure-docx/unnamed-chunk-11-1.png"/>
                    <pic:cNvPicPr>
                      <a:picLocks noChangeAspect="1" noChangeArrowheads="1"/>
                    </pic:cNvPicPr>
                  </pic:nvPicPr>
                  <pic:blipFill>
                    <a:blip r:embed="rId10"/>
                    <a:stretch>
                      <a:fillRect/>
                    </a:stretch>
                  </pic:blipFill>
                  <pic:spPr bwMode="auto">
                    <a:xfrm>
                      <a:off x="0" y="0"/>
                      <a:ext cx="5943600" cy="3467100"/>
                    </a:xfrm>
                    <a:prstGeom prst="rect">
                      <a:avLst/>
                    </a:prstGeom>
                    <a:noFill/>
                    <a:ln w="9525">
                      <a:noFill/>
                      <a:headEnd/>
                      <a:tailEnd/>
                    </a:ln>
                  </pic:spPr>
                </pic:pic>
              </a:graphicData>
            </a:graphic>
          </wp:inline>
        </w:drawing>
      </w:r>
    </w:p>
    <w:p w14:paraId="26735DA1" w14:textId="5B4B373F" w:rsidR="00856DCA" w:rsidRDefault="00F31540">
      <w:pPr>
        <w:pStyle w:val="Heading4"/>
      </w:pPr>
      <w:bookmarkStart w:id="12" w:name="X7f8135000bc5a650b0df27bc14c80f03923ddde"/>
      <w:r>
        <w:t xml:space="preserve">Figure 4. </w:t>
      </w:r>
      <w:bookmarkEnd w:id="12"/>
    </w:p>
    <w:p w14:paraId="32DBB218" w14:textId="77777777" w:rsidR="00856DCA" w:rsidRDefault="00F31540">
      <w:r>
        <w:t>Histograms of (A) change in mean body size from the firs</w:t>
      </w:r>
      <w:r>
        <w:t>t to the last five years of monitoring, (B) overall change in the size structure, and (C) change in species composition for routes whose dynamics for total biomass were best-described using no temporal trend (bottom row; intercept-only model), separate tre</w:t>
      </w:r>
      <w:r>
        <w:t>nds for observed and abundance-driven dynamics (middle row), or the same trend for observed and abundance-driven dynamics (top row). Change in mean body size (A) is calculated as the ratio of the mean body size of all individuals observed in the last 5 yea</w:t>
      </w:r>
      <w:r>
        <w:t>rs of the timeseries relative to the mean body size of all individuals observed in the first 5 years. Overall change in the ISD (B) is calculated as the degree of turnover between the ISDs for the first and last five years of the timeseries (see text). Cha</w:t>
      </w:r>
      <w:r>
        <w:t>nge in species composition (C) is Bray-Curtis dissimilarity comparing species composition in the first five years to the last five years.</w:t>
      </w:r>
    </w:p>
    <w:p w14:paraId="314C1CEF" w14:textId="77777777" w:rsidR="00856DCA" w:rsidRDefault="00F31540">
      <w:r>
        <w:lastRenderedPageBreak/>
        <w:t>Routes that exhibit decoupling between observed and abundance-driven changes in total biomass exhibit a high prevalenc</w:t>
      </w:r>
      <w:r>
        <w:t>e of increases and decreases in mean body size (middle row, panel A) compared to the changes seen in routes that show either no trend or non-decoupled trends. However, routes with all three signatures of dynamics (coupling, decoupling, or no trend) are not</w:t>
      </w:r>
      <w:r>
        <w:t xml:space="preserve"> detectably different in the degree of overall change in the ISD or in species composition over time (panels B and C).</w:t>
      </w:r>
    </w:p>
    <w:p w14:paraId="4FFECAF9" w14:textId="77777777" w:rsidR="00856DCA" w:rsidRDefault="00F31540">
      <w:r>
        <w:br w:type="page"/>
      </w:r>
    </w:p>
    <w:p w14:paraId="7CBD9D9A" w14:textId="77777777" w:rsidR="00856DCA" w:rsidRDefault="00F31540">
      <w:pPr>
        <w:pStyle w:val="Heading1"/>
      </w:pPr>
      <w:bookmarkStart w:id="13" w:name="X329941fbf925a865bb3f957527cca1fb984c11e"/>
      <w:r>
        <w:lastRenderedPageBreak/>
        <w:t>Statistical comparisons of distributions in Figure 4</w:t>
      </w:r>
      <w:bookmarkEnd w:id="13"/>
    </w:p>
    <w:p w14:paraId="11541369" w14:textId="77777777" w:rsidR="00856DCA" w:rsidRDefault="00F31540">
      <w:pPr>
        <w:pStyle w:val="Heading3"/>
      </w:pPr>
      <w:bookmarkStart w:id="14" w:name="mean-mass"/>
      <w:r>
        <w:t>Mean mass</w:t>
      </w:r>
      <w:bookmarkEnd w:id="14"/>
    </w:p>
    <w:p w14:paraId="61795D5D" w14:textId="77777777" w:rsidR="00856DCA" w:rsidRDefault="00F31540">
      <w:pPr>
        <w:pStyle w:val="Heading4"/>
      </w:pPr>
      <w:bookmarkStart w:id="15" w:name="X97fb6f645103ada79213a8e53fd0c3b5041619c"/>
      <w:r>
        <w:t>Table 3. ANOVA comparing model type to intercept-only model for absolute</w:t>
      </w:r>
      <w:r>
        <w:t xml:space="preserve"> log ratio of mean mass</w:t>
      </w:r>
      <w:bookmarkEnd w:id="15"/>
    </w:p>
    <w:tbl>
      <w:tblPr>
        <w:tblW w:w="0" w:type="pct"/>
        <w:tblLook w:val="07E0" w:firstRow="1" w:lastRow="1" w:firstColumn="1" w:lastColumn="1" w:noHBand="1" w:noVBand="1"/>
      </w:tblPr>
      <w:tblGrid>
        <w:gridCol w:w="890"/>
        <w:gridCol w:w="1116"/>
        <w:gridCol w:w="563"/>
        <w:gridCol w:w="1230"/>
        <w:gridCol w:w="996"/>
        <w:gridCol w:w="859"/>
      </w:tblGrid>
      <w:tr w:rsidR="00856DCA" w14:paraId="7B3AC4EE" w14:textId="77777777">
        <w:tc>
          <w:tcPr>
            <w:tcW w:w="0" w:type="auto"/>
            <w:tcBorders>
              <w:bottom w:val="single" w:sz="0" w:space="0" w:color="auto"/>
            </w:tcBorders>
            <w:vAlign w:val="bottom"/>
          </w:tcPr>
          <w:p w14:paraId="07FF97CC" w14:textId="77777777" w:rsidR="00856DCA" w:rsidRDefault="00F31540">
            <w:pPr>
              <w:jc w:val="right"/>
            </w:pPr>
            <w:r>
              <w:t>Res.Df</w:t>
            </w:r>
          </w:p>
        </w:tc>
        <w:tc>
          <w:tcPr>
            <w:tcW w:w="0" w:type="auto"/>
            <w:tcBorders>
              <w:bottom w:val="single" w:sz="0" w:space="0" w:color="auto"/>
            </w:tcBorders>
            <w:vAlign w:val="bottom"/>
          </w:tcPr>
          <w:p w14:paraId="736F2CDF" w14:textId="77777777" w:rsidR="00856DCA" w:rsidRDefault="00F31540">
            <w:pPr>
              <w:jc w:val="right"/>
            </w:pPr>
            <w:r>
              <w:t>RSS</w:t>
            </w:r>
          </w:p>
        </w:tc>
        <w:tc>
          <w:tcPr>
            <w:tcW w:w="0" w:type="auto"/>
            <w:tcBorders>
              <w:bottom w:val="single" w:sz="0" w:space="0" w:color="auto"/>
            </w:tcBorders>
            <w:vAlign w:val="bottom"/>
          </w:tcPr>
          <w:p w14:paraId="0B1956F5" w14:textId="77777777" w:rsidR="00856DCA" w:rsidRDefault="00F31540">
            <w:pPr>
              <w:jc w:val="right"/>
            </w:pPr>
            <w:r>
              <w:t>Df</w:t>
            </w:r>
          </w:p>
        </w:tc>
        <w:tc>
          <w:tcPr>
            <w:tcW w:w="0" w:type="auto"/>
            <w:tcBorders>
              <w:bottom w:val="single" w:sz="0" w:space="0" w:color="auto"/>
            </w:tcBorders>
            <w:vAlign w:val="bottom"/>
          </w:tcPr>
          <w:p w14:paraId="6629B6DD" w14:textId="77777777" w:rsidR="00856DCA" w:rsidRDefault="00F31540">
            <w:pPr>
              <w:jc w:val="right"/>
            </w:pPr>
            <w:r>
              <w:t>Sum of Sq</w:t>
            </w:r>
          </w:p>
        </w:tc>
        <w:tc>
          <w:tcPr>
            <w:tcW w:w="0" w:type="auto"/>
            <w:tcBorders>
              <w:bottom w:val="single" w:sz="0" w:space="0" w:color="auto"/>
            </w:tcBorders>
            <w:vAlign w:val="bottom"/>
          </w:tcPr>
          <w:p w14:paraId="69592F86" w14:textId="77777777" w:rsidR="00856DCA" w:rsidRDefault="00F31540">
            <w:pPr>
              <w:jc w:val="right"/>
            </w:pPr>
            <w:r>
              <w:t>F</w:t>
            </w:r>
          </w:p>
        </w:tc>
        <w:tc>
          <w:tcPr>
            <w:tcW w:w="0" w:type="auto"/>
            <w:tcBorders>
              <w:bottom w:val="single" w:sz="0" w:space="0" w:color="auto"/>
            </w:tcBorders>
            <w:vAlign w:val="bottom"/>
          </w:tcPr>
          <w:p w14:paraId="1D810F75" w14:textId="77777777" w:rsidR="00856DCA" w:rsidRDefault="00F31540">
            <w:pPr>
              <w:jc w:val="right"/>
            </w:pPr>
            <w:r>
              <w:t>Pr(&gt;F)</w:t>
            </w:r>
          </w:p>
        </w:tc>
      </w:tr>
      <w:tr w:rsidR="00856DCA" w14:paraId="73972A5E" w14:textId="77777777">
        <w:tc>
          <w:tcPr>
            <w:tcW w:w="0" w:type="auto"/>
          </w:tcPr>
          <w:p w14:paraId="18A1DEF7" w14:textId="77777777" w:rsidR="00856DCA" w:rsidRDefault="00F31540">
            <w:pPr>
              <w:jc w:val="right"/>
            </w:pPr>
            <w:r>
              <w:t>736</w:t>
            </w:r>
          </w:p>
        </w:tc>
        <w:tc>
          <w:tcPr>
            <w:tcW w:w="0" w:type="auto"/>
          </w:tcPr>
          <w:p w14:paraId="14F370FD" w14:textId="77777777" w:rsidR="00856DCA" w:rsidRDefault="00F31540">
            <w:pPr>
              <w:jc w:val="right"/>
            </w:pPr>
            <w:r>
              <w:t>20.81159</w:t>
            </w:r>
          </w:p>
        </w:tc>
        <w:tc>
          <w:tcPr>
            <w:tcW w:w="0" w:type="auto"/>
          </w:tcPr>
          <w:p w14:paraId="5A4269C8" w14:textId="77777777" w:rsidR="00856DCA" w:rsidRDefault="00F31540">
            <w:pPr>
              <w:jc w:val="right"/>
            </w:pPr>
            <w:r>
              <w:t>NA</w:t>
            </w:r>
          </w:p>
        </w:tc>
        <w:tc>
          <w:tcPr>
            <w:tcW w:w="0" w:type="auto"/>
          </w:tcPr>
          <w:p w14:paraId="40E10F9F" w14:textId="77777777" w:rsidR="00856DCA" w:rsidRDefault="00F31540">
            <w:pPr>
              <w:jc w:val="right"/>
            </w:pPr>
            <w:r>
              <w:t>NA</w:t>
            </w:r>
          </w:p>
        </w:tc>
        <w:tc>
          <w:tcPr>
            <w:tcW w:w="0" w:type="auto"/>
          </w:tcPr>
          <w:p w14:paraId="15212B2B" w14:textId="77777777" w:rsidR="00856DCA" w:rsidRDefault="00F31540">
            <w:pPr>
              <w:jc w:val="right"/>
            </w:pPr>
            <w:r>
              <w:t>NA</w:t>
            </w:r>
          </w:p>
        </w:tc>
        <w:tc>
          <w:tcPr>
            <w:tcW w:w="0" w:type="auto"/>
          </w:tcPr>
          <w:p w14:paraId="3481D362" w14:textId="77777777" w:rsidR="00856DCA" w:rsidRDefault="00F31540">
            <w:pPr>
              <w:jc w:val="right"/>
            </w:pPr>
            <w:r>
              <w:t>NA</w:t>
            </w:r>
          </w:p>
        </w:tc>
      </w:tr>
      <w:tr w:rsidR="00856DCA" w14:paraId="573A91CF" w14:textId="77777777">
        <w:tc>
          <w:tcPr>
            <w:tcW w:w="0" w:type="auto"/>
          </w:tcPr>
          <w:p w14:paraId="09415B34" w14:textId="77777777" w:rsidR="00856DCA" w:rsidRDefault="00F31540">
            <w:pPr>
              <w:jc w:val="right"/>
            </w:pPr>
            <w:r>
              <w:t>738</w:t>
            </w:r>
          </w:p>
        </w:tc>
        <w:tc>
          <w:tcPr>
            <w:tcW w:w="0" w:type="auto"/>
          </w:tcPr>
          <w:p w14:paraId="2B548187" w14:textId="77777777" w:rsidR="00856DCA" w:rsidRDefault="00F31540">
            <w:pPr>
              <w:jc w:val="right"/>
            </w:pPr>
            <w:r>
              <w:t>35.42466</w:t>
            </w:r>
          </w:p>
        </w:tc>
        <w:tc>
          <w:tcPr>
            <w:tcW w:w="0" w:type="auto"/>
          </w:tcPr>
          <w:p w14:paraId="63F9F540" w14:textId="77777777" w:rsidR="00856DCA" w:rsidRDefault="00F31540">
            <w:pPr>
              <w:jc w:val="right"/>
            </w:pPr>
            <w:r>
              <w:t>-2</w:t>
            </w:r>
          </w:p>
        </w:tc>
        <w:tc>
          <w:tcPr>
            <w:tcW w:w="0" w:type="auto"/>
          </w:tcPr>
          <w:p w14:paraId="074296F5" w14:textId="77777777" w:rsidR="00856DCA" w:rsidRDefault="00F31540">
            <w:pPr>
              <w:jc w:val="right"/>
            </w:pPr>
            <w:r>
              <w:t>-14.61307</w:t>
            </w:r>
          </w:p>
        </w:tc>
        <w:tc>
          <w:tcPr>
            <w:tcW w:w="0" w:type="auto"/>
          </w:tcPr>
          <w:p w14:paraId="20A5EE67" w14:textId="77777777" w:rsidR="00856DCA" w:rsidRDefault="00F31540">
            <w:pPr>
              <w:jc w:val="right"/>
            </w:pPr>
            <w:r>
              <w:t>258.395</w:t>
            </w:r>
          </w:p>
        </w:tc>
        <w:tc>
          <w:tcPr>
            <w:tcW w:w="0" w:type="auto"/>
          </w:tcPr>
          <w:p w14:paraId="18B79E24" w14:textId="77777777" w:rsidR="00856DCA" w:rsidRDefault="00F31540">
            <w:pPr>
              <w:jc w:val="right"/>
            </w:pPr>
            <w:r>
              <w:t>0</w:t>
            </w:r>
          </w:p>
        </w:tc>
      </w:tr>
    </w:tbl>
    <w:p w14:paraId="7CF89E05" w14:textId="77777777" w:rsidR="00856DCA" w:rsidRDefault="00F31540">
      <w:r>
        <w:t>ANOVA comparing the models abs_log_ratio_mean_mass ~ best fitting model type and abs_log_ratio_mean_mass ~ 1</w:t>
      </w:r>
      <w:r>
        <w:t>. The fit incorporating model type is superior to the intercept-only model (p &lt; 0.0001).</w:t>
      </w:r>
    </w:p>
    <w:p w14:paraId="68D30E44" w14:textId="77777777" w:rsidR="00856DCA" w:rsidRDefault="00F31540">
      <w:pPr>
        <w:pStyle w:val="Heading4"/>
      </w:pPr>
      <w:bookmarkStart w:id="16" w:name="Xa1a0e78df2caa150f5be8b35e518d7fea40064b"/>
      <w:r>
        <w:t>Table 4. Model estimates for absolute log ratio of mean mass for routes best-described by different dynamics.</w:t>
      </w:r>
      <w:bookmarkEnd w:id="16"/>
    </w:p>
    <w:tbl>
      <w:tblPr>
        <w:tblW w:w="0" w:type="pct"/>
        <w:tblLook w:val="07E0" w:firstRow="1" w:lastRow="1" w:firstColumn="1" w:lastColumn="1" w:noHBand="1" w:noVBand="1"/>
      </w:tblPr>
      <w:tblGrid>
        <w:gridCol w:w="1903"/>
        <w:gridCol w:w="1236"/>
        <w:gridCol w:w="1236"/>
        <w:gridCol w:w="576"/>
        <w:gridCol w:w="1236"/>
        <w:gridCol w:w="1236"/>
      </w:tblGrid>
      <w:tr w:rsidR="00856DCA" w14:paraId="728A86C7" w14:textId="77777777">
        <w:tc>
          <w:tcPr>
            <w:tcW w:w="0" w:type="auto"/>
            <w:tcBorders>
              <w:bottom w:val="single" w:sz="0" w:space="0" w:color="auto"/>
            </w:tcBorders>
            <w:vAlign w:val="bottom"/>
          </w:tcPr>
          <w:p w14:paraId="03D728A3" w14:textId="77777777" w:rsidR="00856DCA" w:rsidRDefault="00F31540">
            <w:r>
              <w:t>categorical_fit</w:t>
            </w:r>
          </w:p>
        </w:tc>
        <w:tc>
          <w:tcPr>
            <w:tcW w:w="0" w:type="auto"/>
            <w:tcBorders>
              <w:bottom w:val="single" w:sz="0" w:space="0" w:color="auto"/>
            </w:tcBorders>
            <w:vAlign w:val="bottom"/>
          </w:tcPr>
          <w:p w14:paraId="703EB833" w14:textId="77777777" w:rsidR="00856DCA" w:rsidRDefault="00F31540">
            <w:pPr>
              <w:jc w:val="right"/>
            </w:pPr>
            <w:r>
              <w:t>emmean</w:t>
            </w:r>
          </w:p>
        </w:tc>
        <w:tc>
          <w:tcPr>
            <w:tcW w:w="0" w:type="auto"/>
            <w:tcBorders>
              <w:bottom w:val="single" w:sz="0" w:space="0" w:color="auto"/>
            </w:tcBorders>
            <w:vAlign w:val="bottom"/>
          </w:tcPr>
          <w:p w14:paraId="312D6534" w14:textId="77777777" w:rsidR="00856DCA" w:rsidRDefault="00F31540">
            <w:pPr>
              <w:jc w:val="right"/>
            </w:pPr>
            <w:r>
              <w:t>SE</w:t>
            </w:r>
          </w:p>
        </w:tc>
        <w:tc>
          <w:tcPr>
            <w:tcW w:w="0" w:type="auto"/>
            <w:tcBorders>
              <w:bottom w:val="single" w:sz="0" w:space="0" w:color="auto"/>
            </w:tcBorders>
            <w:vAlign w:val="bottom"/>
          </w:tcPr>
          <w:p w14:paraId="35904C4A" w14:textId="77777777" w:rsidR="00856DCA" w:rsidRDefault="00F31540">
            <w:pPr>
              <w:jc w:val="right"/>
            </w:pPr>
            <w:r>
              <w:t>df</w:t>
            </w:r>
          </w:p>
        </w:tc>
        <w:tc>
          <w:tcPr>
            <w:tcW w:w="0" w:type="auto"/>
            <w:tcBorders>
              <w:bottom w:val="single" w:sz="0" w:space="0" w:color="auto"/>
            </w:tcBorders>
            <w:vAlign w:val="bottom"/>
          </w:tcPr>
          <w:p w14:paraId="7BCB88E6" w14:textId="77777777" w:rsidR="00856DCA" w:rsidRDefault="00F31540">
            <w:pPr>
              <w:jc w:val="right"/>
            </w:pPr>
            <w:r>
              <w:t>lower.CL</w:t>
            </w:r>
          </w:p>
        </w:tc>
        <w:tc>
          <w:tcPr>
            <w:tcW w:w="0" w:type="auto"/>
            <w:tcBorders>
              <w:bottom w:val="single" w:sz="0" w:space="0" w:color="auto"/>
            </w:tcBorders>
            <w:vAlign w:val="bottom"/>
          </w:tcPr>
          <w:p w14:paraId="4A4FCD79" w14:textId="77777777" w:rsidR="00856DCA" w:rsidRDefault="00F31540">
            <w:pPr>
              <w:jc w:val="right"/>
            </w:pPr>
            <w:r>
              <w:t>upper.CL</w:t>
            </w:r>
          </w:p>
        </w:tc>
      </w:tr>
      <w:tr w:rsidR="00856DCA" w14:paraId="016DF9E8" w14:textId="77777777">
        <w:tc>
          <w:tcPr>
            <w:tcW w:w="0" w:type="auto"/>
          </w:tcPr>
          <w:p w14:paraId="476168BE" w14:textId="77777777" w:rsidR="00856DCA" w:rsidRDefault="00F31540">
            <w:r>
              <w:t>Coupled trend</w:t>
            </w:r>
          </w:p>
        </w:tc>
        <w:tc>
          <w:tcPr>
            <w:tcW w:w="0" w:type="auto"/>
          </w:tcPr>
          <w:p w14:paraId="7EFC22F4" w14:textId="77777777" w:rsidR="00856DCA" w:rsidRDefault="00F31540">
            <w:pPr>
              <w:jc w:val="right"/>
            </w:pPr>
            <w:r>
              <w:t>0.2007265</w:t>
            </w:r>
          </w:p>
        </w:tc>
        <w:tc>
          <w:tcPr>
            <w:tcW w:w="0" w:type="auto"/>
          </w:tcPr>
          <w:p w14:paraId="29D5D3FE" w14:textId="77777777" w:rsidR="00856DCA" w:rsidRDefault="00F31540">
            <w:pPr>
              <w:jc w:val="right"/>
            </w:pPr>
            <w:r>
              <w:t>0.0089755</w:t>
            </w:r>
          </w:p>
        </w:tc>
        <w:tc>
          <w:tcPr>
            <w:tcW w:w="0" w:type="auto"/>
          </w:tcPr>
          <w:p w14:paraId="0B3279BD" w14:textId="77777777" w:rsidR="00856DCA" w:rsidRDefault="00F31540">
            <w:pPr>
              <w:jc w:val="right"/>
            </w:pPr>
            <w:r>
              <w:t>736</w:t>
            </w:r>
          </w:p>
        </w:tc>
        <w:tc>
          <w:tcPr>
            <w:tcW w:w="0" w:type="auto"/>
          </w:tcPr>
          <w:p w14:paraId="2A74FF8F" w14:textId="77777777" w:rsidR="00856DCA" w:rsidRDefault="00F31540">
            <w:pPr>
              <w:jc w:val="right"/>
            </w:pPr>
            <w:r>
              <w:t>0.1831058</w:t>
            </w:r>
          </w:p>
        </w:tc>
        <w:tc>
          <w:tcPr>
            <w:tcW w:w="0" w:type="auto"/>
          </w:tcPr>
          <w:p w14:paraId="657CD7C1" w14:textId="77777777" w:rsidR="00856DCA" w:rsidRDefault="00F31540">
            <w:pPr>
              <w:jc w:val="right"/>
            </w:pPr>
            <w:r>
              <w:t>0.2183472</w:t>
            </w:r>
          </w:p>
        </w:tc>
      </w:tr>
      <w:tr w:rsidR="00856DCA" w14:paraId="0E846BA5" w14:textId="77777777">
        <w:tc>
          <w:tcPr>
            <w:tcW w:w="0" w:type="auto"/>
          </w:tcPr>
          <w:p w14:paraId="7318F73F" w14:textId="77777777" w:rsidR="00856DCA" w:rsidRDefault="00F31540">
            <w:r>
              <w:t>Decoupled trends</w:t>
            </w:r>
          </w:p>
        </w:tc>
        <w:tc>
          <w:tcPr>
            <w:tcW w:w="0" w:type="auto"/>
          </w:tcPr>
          <w:p w14:paraId="1FD20E0C" w14:textId="77777777" w:rsidR="00856DCA" w:rsidRDefault="00F31540">
            <w:pPr>
              <w:jc w:val="right"/>
            </w:pPr>
            <w:r>
              <w:t>0.5587675</w:t>
            </w:r>
          </w:p>
        </w:tc>
        <w:tc>
          <w:tcPr>
            <w:tcW w:w="0" w:type="auto"/>
          </w:tcPr>
          <w:p w14:paraId="58719F6D" w14:textId="77777777" w:rsidR="00856DCA" w:rsidRDefault="00F31540">
            <w:pPr>
              <w:jc w:val="right"/>
            </w:pPr>
            <w:r>
              <w:t>0.0137759</w:t>
            </w:r>
          </w:p>
        </w:tc>
        <w:tc>
          <w:tcPr>
            <w:tcW w:w="0" w:type="auto"/>
          </w:tcPr>
          <w:p w14:paraId="19FDF3DD" w14:textId="77777777" w:rsidR="00856DCA" w:rsidRDefault="00F31540">
            <w:pPr>
              <w:jc w:val="right"/>
            </w:pPr>
            <w:r>
              <w:t>736</w:t>
            </w:r>
          </w:p>
        </w:tc>
        <w:tc>
          <w:tcPr>
            <w:tcW w:w="0" w:type="auto"/>
          </w:tcPr>
          <w:p w14:paraId="3E8121E7" w14:textId="77777777" w:rsidR="00856DCA" w:rsidRDefault="00F31540">
            <w:pPr>
              <w:jc w:val="right"/>
            </w:pPr>
            <w:r>
              <w:t>0.5317228</w:t>
            </w:r>
          </w:p>
        </w:tc>
        <w:tc>
          <w:tcPr>
            <w:tcW w:w="0" w:type="auto"/>
          </w:tcPr>
          <w:p w14:paraId="7AFE72BB" w14:textId="77777777" w:rsidR="00856DCA" w:rsidRDefault="00F31540">
            <w:pPr>
              <w:jc w:val="right"/>
            </w:pPr>
            <w:r>
              <w:t>0.5858123</w:t>
            </w:r>
          </w:p>
        </w:tc>
      </w:tr>
      <w:tr w:rsidR="00856DCA" w14:paraId="37C1627B" w14:textId="77777777">
        <w:tc>
          <w:tcPr>
            <w:tcW w:w="0" w:type="auto"/>
          </w:tcPr>
          <w:p w14:paraId="0922483A" w14:textId="77777777" w:rsidR="00856DCA" w:rsidRDefault="00F31540">
            <w:r>
              <w:t>No trend</w:t>
            </w:r>
          </w:p>
        </w:tc>
        <w:tc>
          <w:tcPr>
            <w:tcW w:w="0" w:type="auto"/>
          </w:tcPr>
          <w:p w14:paraId="03397DCA" w14:textId="77777777" w:rsidR="00856DCA" w:rsidRDefault="00F31540">
            <w:pPr>
              <w:jc w:val="right"/>
            </w:pPr>
            <w:r>
              <w:t>0.2211238</w:t>
            </w:r>
          </w:p>
        </w:tc>
        <w:tc>
          <w:tcPr>
            <w:tcW w:w="0" w:type="auto"/>
          </w:tcPr>
          <w:p w14:paraId="4F9B6202" w14:textId="77777777" w:rsidR="00856DCA" w:rsidRDefault="00F31540">
            <w:pPr>
              <w:jc w:val="right"/>
            </w:pPr>
            <w:r>
              <w:t>0.0108771</w:t>
            </w:r>
          </w:p>
        </w:tc>
        <w:tc>
          <w:tcPr>
            <w:tcW w:w="0" w:type="auto"/>
          </w:tcPr>
          <w:p w14:paraId="170BC657" w14:textId="77777777" w:rsidR="00856DCA" w:rsidRDefault="00F31540">
            <w:pPr>
              <w:jc w:val="right"/>
            </w:pPr>
            <w:r>
              <w:t>736</w:t>
            </w:r>
          </w:p>
        </w:tc>
        <w:tc>
          <w:tcPr>
            <w:tcW w:w="0" w:type="auto"/>
          </w:tcPr>
          <w:p w14:paraId="39C4B965" w14:textId="77777777" w:rsidR="00856DCA" w:rsidRDefault="00F31540">
            <w:pPr>
              <w:jc w:val="right"/>
            </w:pPr>
            <w:r>
              <w:t>0.1997699</w:t>
            </w:r>
          </w:p>
        </w:tc>
        <w:tc>
          <w:tcPr>
            <w:tcW w:w="0" w:type="auto"/>
          </w:tcPr>
          <w:p w14:paraId="4B091D99" w14:textId="77777777" w:rsidR="00856DCA" w:rsidRDefault="00F31540">
            <w:pPr>
              <w:jc w:val="right"/>
            </w:pPr>
            <w:r>
              <w:t>0.2424777</w:t>
            </w:r>
          </w:p>
        </w:tc>
      </w:tr>
    </w:tbl>
    <w:p w14:paraId="10EBD1BE" w14:textId="77777777" w:rsidR="00856DCA" w:rsidRDefault="00F31540">
      <w:r>
        <w:t>Estimates (calculated using emmeans (Lenth 2021)</w:t>
      </w:r>
      <w:r>
        <w:t xml:space="preserve">) for the mean absolute log ratio of mean mass for routes whose dynamics for biomass best-described by different model types. Routes with decoupled long-term trends between biomass and abundance-driven dynamics have higher </w:t>
      </w:r>
      <w:r>
        <w:lastRenderedPageBreak/>
        <w:t>absolute log ratios (mean .56, 95</w:t>
      </w:r>
      <w:r>
        <w:t>% credible interval .53-.58) than routes with covarying trends in biomass and abundance (mean of .2; 95% interval .18-.22) or no detectable temporal trend (mean of .22; .2-.24).</w:t>
      </w:r>
    </w:p>
    <w:p w14:paraId="41DA1D52" w14:textId="77777777" w:rsidR="00856DCA" w:rsidRDefault="00F31540">
      <w:pPr>
        <w:pStyle w:val="Heading4"/>
      </w:pPr>
      <w:bookmarkStart w:id="17" w:name="X51e116dfa66cf8d4a2ce0e929da0256af398f28"/>
      <w:r>
        <w:t>Table 5. Contrasts for absolute log ratio of mean mass.</w:t>
      </w:r>
      <w:bookmarkEnd w:id="17"/>
    </w:p>
    <w:tbl>
      <w:tblPr>
        <w:tblW w:w="5000" w:type="pct"/>
        <w:tblLook w:val="07E0" w:firstRow="1" w:lastRow="1" w:firstColumn="1" w:lastColumn="1" w:noHBand="1" w:noVBand="1"/>
      </w:tblPr>
      <w:tblGrid>
        <w:gridCol w:w="3631"/>
        <w:gridCol w:w="1377"/>
        <w:gridCol w:w="1294"/>
        <w:gridCol w:w="603"/>
        <w:gridCol w:w="1377"/>
        <w:gridCol w:w="1294"/>
      </w:tblGrid>
      <w:tr w:rsidR="00856DCA" w14:paraId="42D237FC" w14:textId="77777777">
        <w:tc>
          <w:tcPr>
            <w:tcW w:w="0" w:type="auto"/>
            <w:tcBorders>
              <w:bottom w:val="single" w:sz="0" w:space="0" w:color="auto"/>
            </w:tcBorders>
            <w:vAlign w:val="bottom"/>
          </w:tcPr>
          <w:p w14:paraId="67A3AE93" w14:textId="77777777" w:rsidR="00856DCA" w:rsidRDefault="00F31540">
            <w:r>
              <w:t>contrast</w:t>
            </w:r>
          </w:p>
        </w:tc>
        <w:tc>
          <w:tcPr>
            <w:tcW w:w="0" w:type="auto"/>
            <w:tcBorders>
              <w:bottom w:val="single" w:sz="0" w:space="0" w:color="auto"/>
            </w:tcBorders>
            <w:vAlign w:val="bottom"/>
          </w:tcPr>
          <w:p w14:paraId="0D6D2ACD" w14:textId="77777777" w:rsidR="00856DCA" w:rsidRDefault="00F31540">
            <w:pPr>
              <w:jc w:val="right"/>
            </w:pPr>
            <w:r>
              <w:t>estimate</w:t>
            </w:r>
          </w:p>
        </w:tc>
        <w:tc>
          <w:tcPr>
            <w:tcW w:w="0" w:type="auto"/>
            <w:tcBorders>
              <w:bottom w:val="single" w:sz="0" w:space="0" w:color="auto"/>
            </w:tcBorders>
            <w:vAlign w:val="bottom"/>
          </w:tcPr>
          <w:p w14:paraId="300FB571" w14:textId="77777777" w:rsidR="00856DCA" w:rsidRDefault="00F31540">
            <w:pPr>
              <w:jc w:val="right"/>
            </w:pPr>
            <w:r>
              <w:t>SE</w:t>
            </w:r>
          </w:p>
        </w:tc>
        <w:tc>
          <w:tcPr>
            <w:tcW w:w="0" w:type="auto"/>
            <w:tcBorders>
              <w:bottom w:val="single" w:sz="0" w:space="0" w:color="auto"/>
            </w:tcBorders>
            <w:vAlign w:val="bottom"/>
          </w:tcPr>
          <w:p w14:paraId="65B08804" w14:textId="77777777" w:rsidR="00856DCA" w:rsidRDefault="00F31540">
            <w:pPr>
              <w:jc w:val="right"/>
            </w:pPr>
            <w:r>
              <w:t>d</w:t>
            </w:r>
            <w:r>
              <w:t>f</w:t>
            </w:r>
          </w:p>
        </w:tc>
        <w:tc>
          <w:tcPr>
            <w:tcW w:w="0" w:type="auto"/>
            <w:tcBorders>
              <w:bottom w:val="single" w:sz="0" w:space="0" w:color="auto"/>
            </w:tcBorders>
            <w:vAlign w:val="bottom"/>
          </w:tcPr>
          <w:p w14:paraId="405EE4BC" w14:textId="77777777" w:rsidR="00856DCA" w:rsidRDefault="00F31540">
            <w:pPr>
              <w:jc w:val="right"/>
            </w:pPr>
            <w:r>
              <w:t>t.ratio</w:t>
            </w:r>
          </w:p>
        </w:tc>
        <w:tc>
          <w:tcPr>
            <w:tcW w:w="0" w:type="auto"/>
            <w:tcBorders>
              <w:bottom w:val="single" w:sz="0" w:space="0" w:color="auto"/>
            </w:tcBorders>
            <w:vAlign w:val="bottom"/>
          </w:tcPr>
          <w:p w14:paraId="1379CDA0" w14:textId="77777777" w:rsidR="00856DCA" w:rsidRDefault="00F31540">
            <w:pPr>
              <w:jc w:val="right"/>
            </w:pPr>
            <w:r>
              <w:t>p.value</w:t>
            </w:r>
          </w:p>
        </w:tc>
      </w:tr>
      <w:tr w:rsidR="00856DCA" w14:paraId="2C4B9434" w14:textId="77777777">
        <w:tc>
          <w:tcPr>
            <w:tcW w:w="0" w:type="auto"/>
          </w:tcPr>
          <w:p w14:paraId="15BA959E" w14:textId="77777777" w:rsidR="00856DCA" w:rsidRDefault="00F31540">
            <w:r>
              <w:t>Coupled trend - Decoupled trends</w:t>
            </w:r>
          </w:p>
        </w:tc>
        <w:tc>
          <w:tcPr>
            <w:tcW w:w="0" w:type="auto"/>
          </w:tcPr>
          <w:p w14:paraId="320A846C" w14:textId="77777777" w:rsidR="00856DCA" w:rsidRDefault="00F31540">
            <w:pPr>
              <w:jc w:val="right"/>
            </w:pPr>
            <w:r>
              <w:t>-0.3580410</w:t>
            </w:r>
          </w:p>
        </w:tc>
        <w:tc>
          <w:tcPr>
            <w:tcW w:w="0" w:type="auto"/>
          </w:tcPr>
          <w:p w14:paraId="5886FBA6" w14:textId="77777777" w:rsidR="00856DCA" w:rsidRDefault="00F31540">
            <w:pPr>
              <w:jc w:val="right"/>
            </w:pPr>
            <w:r>
              <w:t>0.0164419</w:t>
            </w:r>
          </w:p>
        </w:tc>
        <w:tc>
          <w:tcPr>
            <w:tcW w:w="0" w:type="auto"/>
          </w:tcPr>
          <w:p w14:paraId="4D70F608" w14:textId="77777777" w:rsidR="00856DCA" w:rsidRDefault="00F31540">
            <w:pPr>
              <w:jc w:val="right"/>
            </w:pPr>
            <w:r>
              <w:t>736</w:t>
            </w:r>
          </w:p>
        </w:tc>
        <w:tc>
          <w:tcPr>
            <w:tcW w:w="0" w:type="auto"/>
          </w:tcPr>
          <w:p w14:paraId="019B6BE0" w14:textId="77777777" w:rsidR="00856DCA" w:rsidRDefault="00F31540">
            <w:pPr>
              <w:jc w:val="right"/>
            </w:pPr>
            <w:r>
              <w:t>-21.776134</w:t>
            </w:r>
          </w:p>
        </w:tc>
        <w:tc>
          <w:tcPr>
            <w:tcW w:w="0" w:type="auto"/>
          </w:tcPr>
          <w:p w14:paraId="4286111E" w14:textId="77777777" w:rsidR="00856DCA" w:rsidRDefault="00F31540">
            <w:pPr>
              <w:jc w:val="right"/>
            </w:pPr>
            <w:r>
              <w:t>0.0000000</w:t>
            </w:r>
          </w:p>
        </w:tc>
      </w:tr>
      <w:tr w:rsidR="00856DCA" w14:paraId="1ABE0EDA" w14:textId="77777777">
        <w:tc>
          <w:tcPr>
            <w:tcW w:w="0" w:type="auto"/>
          </w:tcPr>
          <w:p w14:paraId="6A8147D5" w14:textId="77777777" w:rsidR="00856DCA" w:rsidRDefault="00F31540">
            <w:r>
              <w:t>Coupled trend - No trend</w:t>
            </w:r>
          </w:p>
        </w:tc>
        <w:tc>
          <w:tcPr>
            <w:tcW w:w="0" w:type="auto"/>
          </w:tcPr>
          <w:p w14:paraId="7CADB860" w14:textId="77777777" w:rsidR="00856DCA" w:rsidRDefault="00F31540">
            <w:pPr>
              <w:jc w:val="right"/>
            </w:pPr>
            <w:r>
              <w:t>-0.0203973</w:t>
            </w:r>
          </w:p>
        </w:tc>
        <w:tc>
          <w:tcPr>
            <w:tcW w:w="0" w:type="auto"/>
          </w:tcPr>
          <w:p w14:paraId="2F8740B3" w14:textId="77777777" w:rsidR="00856DCA" w:rsidRDefault="00F31540">
            <w:pPr>
              <w:jc w:val="right"/>
            </w:pPr>
            <w:r>
              <w:t>0.0141022</w:t>
            </w:r>
          </w:p>
        </w:tc>
        <w:tc>
          <w:tcPr>
            <w:tcW w:w="0" w:type="auto"/>
          </w:tcPr>
          <w:p w14:paraId="72C9D663" w14:textId="77777777" w:rsidR="00856DCA" w:rsidRDefault="00F31540">
            <w:pPr>
              <w:jc w:val="right"/>
            </w:pPr>
            <w:r>
              <w:t>736</w:t>
            </w:r>
          </w:p>
        </w:tc>
        <w:tc>
          <w:tcPr>
            <w:tcW w:w="0" w:type="auto"/>
          </w:tcPr>
          <w:p w14:paraId="4432791E" w14:textId="77777777" w:rsidR="00856DCA" w:rsidRDefault="00F31540">
            <w:pPr>
              <w:jc w:val="right"/>
            </w:pPr>
            <w:r>
              <w:t>-1.446391</w:t>
            </w:r>
          </w:p>
        </w:tc>
        <w:tc>
          <w:tcPr>
            <w:tcW w:w="0" w:type="auto"/>
          </w:tcPr>
          <w:p w14:paraId="5F5D5621" w14:textId="77777777" w:rsidR="00856DCA" w:rsidRDefault="00F31540">
            <w:pPr>
              <w:jc w:val="right"/>
            </w:pPr>
            <w:r>
              <w:t>0.3176979</w:t>
            </w:r>
          </w:p>
        </w:tc>
      </w:tr>
      <w:tr w:rsidR="00856DCA" w14:paraId="36F5F9D9" w14:textId="77777777">
        <w:tc>
          <w:tcPr>
            <w:tcW w:w="0" w:type="auto"/>
          </w:tcPr>
          <w:p w14:paraId="084C7307" w14:textId="77777777" w:rsidR="00856DCA" w:rsidRDefault="00F31540">
            <w:r>
              <w:t>Decoupled trends - No trend</w:t>
            </w:r>
          </w:p>
        </w:tc>
        <w:tc>
          <w:tcPr>
            <w:tcW w:w="0" w:type="auto"/>
          </w:tcPr>
          <w:p w14:paraId="77E57F00" w14:textId="77777777" w:rsidR="00856DCA" w:rsidRDefault="00F31540">
            <w:pPr>
              <w:jc w:val="right"/>
            </w:pPr>
            <w:r>
              <w:t>0.3376437</w:t>
            </w:r>
          </w:p>
        </w:tc>
        <w:tc>
          <w:tcPr>
            <w:tcW w:w="0" w:type="auto"/>
          </w:tcPr>
          <w:p w14:paraId="3A460A54" w14:textId="77777777" w:rsidR="00856DCA" w:rsidRDefault="00F31540">
            <w:pPr>
              <w:jc w:val="right"/>
            </w:pPr>
            <w:r>
              <w:t>0.0175524</w:t>
            </w:r>
          </w:p>
        </w:tc>
        <w:tc>
          <w:tcPr>
            <w:tcW w:w="0" w:type="auto"/>
          </w:tcPr>
          <w:p w14:paraId="2C06FE93" w14:textId="77777777" w:rsidR="00856DCA" w:rsidRDefault="00F31540">
            <w:pPr>
              <w:jc w:val="right"/>
            </w:pPr>
            <w:r>
              <w:t>736</w:t>
            </w:r>
          </w:p>
        </w:tc>
        <w:tc>
          <w:tcPr>
            <w:tcW w:w="0" w:type="auto"/>
          </w:tcPr>
          <w:p w14:paraId="236120E0" w14:textId="77777777" w:rsidR="00856DCA" w:rsidRDefault="00F31540">
            <w:pPr>
              <w:jc w:val="right"/>
            </w:pPr>
            <w:r>
              <w:t>19.236285</w:t>
            </w:r>
          </w:p>
        </w:tc>
        <w:tc>
          <w:tcPr>
            <w:tcW w:w="0" w:type="auto"/>
          </w:tcPr>
          <w:p w14:paraId="6036F230" w14:textId="77777777" w:rsidR="00856DCA" w:rsidRDefault="00F31540">
            <w:pPr>
              <w:jc w:val="right"/>
            </w:pPr>
            <w:r>
              <w:t>0.0000000</w:t>
            </w:r>
          </w:p>
        </w:tc>
      </w:tr>
    </w:tbl>
    <w:p w14:paraId="157ECE94" w14:textId="77777777" w:rsidR="00856DCA" w:rsidRDefault="00F31540">
      <w:r>
        <w:t>Contrasts for the above comparisons. There is a significant contrast between routes with decoupled trends and the other two types of dynamics (both contrasts, p &lt; 0.001), but not between “no trend” and “coupled trend” routes (contrast p = .31).</w:t>
      </w:r>
    </w:p>
    <w:p w14:paraId="3CC7C7F3" w14:textId="77777777" w:rsidR="00856DCA" w:rsidRDefault="00F31540">
      <w:pPr>
        <w:pStyle w:val="Heading3"/>
      </w:pPr>
      <w:bookmarkStart w:id="18" w:name="isd-turnover"/>
      <w:r>
        <w:t>ISD turnove</w:t>
      </w:r>
      <w:r>
        <w:t>r</w:t>
      </w:r>
      <w:bookmarkEnd w:id="18"/>
    </w:p>
    <w:p w14:paraId="574E9A5B" w14:textId="77777777" w:rsidR="00856DCA" w:rsidRDefault="00F31540">
      <w:pPr>
        <w:pStyle w:val="Heading4"/>
      </w:pPr>
      <w:bookmarkStart w:id="19" w:name="table-6.-anova-for-turnover-in-the-isd"/>
      <w:r>
        <w:t>Table 6. ANOVA for turnover in the ISD</w:t>
      </w:r>
      <w:bookmarkEnd w:id="19"/>
    </w:p>
    <w:tbl>
      <w:tblPr>
        <w:tblW w:w="0" w:type="pct"/>
        <w:tblLook w:val="07E0" w:firstRow="1" w:lastRow="1" w:firstColumn="1" w:lastColumn="1" w:noHBand="1" w:noVBand="1"/>
      </w:tblPr>
      <w:tblGrid>
        <w:gridCol w:w="1136"/>
        <w:gridCol w:w="1283"/>
        <w:gridCol w:w="563"/>
        <w:gridCol w:w="1316"/>
        <w:gridCol w:w="1236"/>
      </w:tblGrid>
      <w:tr w:rsidR="00856DCA" w14:paraId="6AD2498B" w14:textId="77777777">
        <w:tc>
          <w:tcPr>
            <w:tcW w:w="0" w:type="auto"/>
            <w:tcBorders>
              <w:bottom w:val="single" w:sz="0" w:space="0" w:color="auto"/>
            </w:tcBorders>
            <w:vAlign w:val="bottom"/>
          </w:tcPr>
          <w:p w14:paraId="7D84702B" w14:textId="77777777" w:rsidR="00856DCA" w:rsidRDefault="00F31540">
            <w:pPr>
              <w:jc w:val="right"/>
            </w:pPr>
            <w:r>
              <w:t>Resid. Df</w:t>
            </w:r>
          </w:p>
        </w:tc>
        <w:tc>
          <w:tcPr>
            <w:tcW w:w="0" w:type="auto"/>
            <w:tcBorders>
              <w:bottom w:val="single" w:sz="0" w:space="0" w:color="auto"/>
            </w:tcBorders>
            <w:vAlign w:val="bottom"/>
          </w:tcPr>
          <w:p w14:paraId="5CD01D07" w14:textId="77777777" w:rsidR="00856DCA" w:rsidRDefault="00F31540">
            <w:pPr>
              <w:jc w:val="right"/>
            </w:pPr>
            <w:r>
              <w:t>Resid. Dev</w:t>
            </w:r>
          </w:p>
        </w:tc>
        <w:tc>
          <w:tcPr>
            <w:tcW w:w="0" w:type="auto"/>
            <w:tcBorders>
              <w:bottom w:val="single" w:sz="0" w:space="0" w:color="auto"/>
            </w:tcBorders>
            <w:vAlign w:val="bottom"/>
          </w:tcPr>
          <w:p w14:paraId="36F675AD" w14:textId="77777777" w:rsidR="00856DCA" w:rsidRDefault="00F31540">
            <w:pPr>
              <w:jc w:val="right"/>
            </w:pPr>
            <w:r>
              <w:t>Df</w:t>
            </w:r>
          </w:p>
        </w:tc>
        <w:tc>
          <w:tcPr>
            <w:tcW w:w="0" w:type="auto"/>
            <w:tcBorders>
              <w:bottom w:val="single" w:sz="0" w:space="0" w:color="auto"/>
            </w:tcBorders>
            <w:vAlign w:val="bottom"/>
          </w:tcPr>
          <w:p w14:paraId="280D4969" w14:textId="77777777" w:rsidR="00856DCA" w:rsidRDefault="00F31540">
            <w:pPr>
              <w:jc w:val="right"/>
            </w:pPr>
            <w:r>
              <w:t>Deviance</w:t>
            </w:r>
          </w:p>
        </w:tc>
        <w:tc>
          <w:tcPr>
            <w:tcW w:w="0" w:type="auto"/>
            <w:tcBorders>
              <w:bottom w:val="single" w:sz="0" w:space="0" w:color="auto"/>
            </w:tcBorders>
            <w:vAlign w:val="bottom"/>
          </w:tcPr>
          <w:p w14:paraId="20C619A3" w14:textId="77777777" w:rsidR="00856DCA" w:rsidRDefault="00F31540">
            <w:pPr>
              <w:jc w:val="right"/>
            </w:pPr>
            <w:r>
              <w:t>Pr(&gt;Chi)</w:t>
            </w:r>
          </w:p>
        </w:tc>
      </w:tr>
      <w:tr w:rsidR="00856DCA" w14:paraId="460AD6D5" w14:textId="77777777">
        <w:tc>
          <w:tcPr>
            <w:tcW w:w="0" w:type="auto"/>
          </w:tcPr>
          <w:p w14:paraId="205C56B4" w14:textId="77777777" w:rsidR="00856DCA" w:rsidRDefault="00F31540">
            <w:pPr>
              <w:jc w:val="right"/>
            </w:pPr>
            <w:r>
              <w:t>736</w:t>
            </w:r>
          </w:p>
        </w:tc>
        <w:tc>
          <w:tcPr>
            <w:tcW w:w="0" w:type="auto"/>
          </w:tcPr>
          <w:p w14:paraId="1176FEF3" w14:textId="77777777" w:rsidR="00856DCA" w:rsidRDefault="00F31540">
            <w:pPr>
              <w:jc w:val="right"/>
            </w:pPr>
            <w:r>
              <w:t>14.09312</w:t>
            </w:r>
          </w:p>
        </w:tc>
        <w:tc>
          <w:tcPr>
            <w:tcW w:w="0" w:type="auto"/>
          </w:tcPr>
          <w:p w14:paraId="1D1F75AA" w14:textId="77777777" w:rsidR="00856DCA" w:rsidRDefault="00F31540">
            <w:pPr>
              <w:jc w:val="right"/>
            </w:pPr>
            <w:r>
              <w:t>NA</w:t>
            </w:r>
          </w:p>
        </w:tc>
        <w:tc>
          <w:tcPr>
            <w:tcW w:w="0" w:type="auto"/>
          </w:tcPr>
          <w:p w14:paraId="5AF1B5E0" w14:textId="77777777" w:rsidR="00856DCA" w:rsidRDefault="00F31540">
            <w:pPr>
              <w:jc w:val="right"/>
            </w:pPr>
            <w:r>
              <w:t>NA</w:t>
            </w:r>
          </w:p>
        </w:tc>
        <w:tc>
          <w:tcPr>
            <w:tcW w:w="0" w:type="auto"/>
          </w:tcPr>
          <w:p w14:paraId="05DB3848" w14:textId="77777777" w:rsidR="00856DCA" w:rsidRDefault="00F31540">
            <w:pPr>
              <w:jc w:val="right"/>
            </w:pPr>
            <w:r>
              <w:t>NA</w:t>
            </w:r>
          </w:p>
        </w:tc>
      </w:tr>
      <w:tr w:rsidR="00856DCA" w14:paraId="16EB878A" w14:textId="77777777">
        <w:tc>
          <w:tcPr>
            <w:tcW w:w="0" w:type="auto"/>
          </w:tcPr>
          <w:p w14:paraId="28E07775" w14:textId="77777777" w:rsidR="00856DCA" w:rsidRDefault="00F31540">
            <w:pPr>
              <w:jc w:val="right"/>
            </w:pPr>
            <w:r>
              <w:t>738</w:t>
            </w:r>
          </w:p>
        </w:tc>
        <w:tc>
          <w:tcPr>
            <w:tcW w:w="0" w:type="auto"/>
          </w:tcPr>
          <w:p w14:paraId="46538152" w14:textId="77777777" w:rsidR="00856DCA" w:rsidRDefault="00F31540">
            <w:pPr>
              <w:jc w:val="right"/>
            </w:pPr>
            <w:r>
              <w:t>14.28236</w:t>
            </w:r>
          </w:p>
        </w:tc>
        <w:tc>
          <w:tcPr>
            <w:tcW w:w="0" w:type="auto"/>
          </w:tcPr>
          <w:p w14:paraId="0C94FB03" w14:textId="77777777" w:rsidR="00856DCA" w:rsidRDefault="00F31540">
            <w:pPr>
              <w:jc w:val="right"/>
            </w:pPr>
            <w:r>
              <w:t>-2</w:t>
            </w:r>
          </w:p>
        </w:tc>
        <w:tc>
          <w:tcPr>
            <w:tcW w:w="0" w:type="auto"/>
          </w:tcPr>
          <w:p w14:paraId="4A6E5BDC" w14:textId="77777777" w:rsidR="00856DCA" w:rsidRDefault="00F31540">
            <w:pPr>
              <w:jc w:val="right"/>
            </w:pPr>
            <w:r>
              <w:t>-0.1892428</w:t>
            </w:r>
          </w:p>
        </w:tc>
        <w:tc>
          <w:tcPr>
            <w:tcW w:w="0" w:type="auto"/>
          </w:tcPr>
          <w:p w14:paraId="06C6E27D" w14:textId="77777777" w:rsidR="00856DCA" w:rsidRDefault="00F31540">
            <w:pPr>
              <w:jc w:val="right"/>
            </w:pPr>
            <w:r>
              <w:t>0.9097173</w:t>
            </w:r>
          </w:p>
        </w:tc>
      </w:tr>
    </w:tbl>
    <w:p w14:paraId="64BB8076" w14:textId="77777777" w:rsidR="00856DCA" w:rsidRDefault="00F31540">
      <w:pPr>
        <w:pStyle w:val="Heading3"/>
      </w:pPr>
      <w:bookmarkStart w:id="20" w:name="species-compositional-turnover"/>
      <w:r>
        <w:lastRenderedPageBreak/>
        <w:t>Species compositional turnover</w:t>
      </w:r>
      <w:bookmarkEnd w:id="20"/>
    </w:p>
    <w:p w14:paraId="083C2C13" w14:textId="77777777" w:rsidR="00856DCA" w:rsidRDefault="00F31540">
      <w:pPr>
        <w:pStyle w:val="Heading4"/>
      </w:pPr>
      <w:bookmarkStart w:id="21" w:name="Xeae39b1a47ed5fc7f2aee1aff9dcce7e4187095"/>
      <w:r>
        <w:t>Table 7. ANOVA for Bray-Curtis dissimilarity</w:t>
      </w:r>
      <w:bookmarkEnd w:id="21"/>
    </w:p>
    <w:tbl>
      <w:tblPr>
        <w:tblW w:w="0" w:type="pct"/>
        <w:tblLook w:val="07E0" w:firstRow="1" w:lastRow="1" w:firstColumn="1" w:lastColumn="1" w:noHBand="1" w:noVBand="1"/>
      </w:tblPr>
      <w:tblGrid>
        <w:gridCol w:w="1136"/>
        <w:gridCol w:w="1283"/>
        <w:gridCol w:w="563"/>
        <w:gridCol w:w="1196"/>
        <w:gridCol w:w="1236"/>
      </w:tblGrid>
      <w:tr w:rsidR="00856DCA" w14:paraId="710E3AD3" w14:textId="77777777">
        <w:tc>
          <w:tcPr>
            <w:tcW w:w="0" w:type="auto"/>
            <w:tcBorders>
              <w:bottom w:val="single" w:sz="0" w:space="0" w:color="auto"/>
            </w:tcBorders>
            <w:vAlign w:val="bottom"/>
          </w:tcPr>
          <w:p w14:paraId="07739C63" w14:textId="77777777" w:rsidR="00856DCA" w:rsidRDefault="00F31540">
            <w:pPr>
              <w:jc w:val="right"/>
            </w:pPr>
            <w:r>
              <w:t>Resid. Df</w:t>
            </w:r>
          </w:p>
        </w:tc>
        <w:tc>
          <w:tcPr>
            <w:tcW w:w="0" w:type="auto"/>
            <w:tcBorders>
              <w:bottom w:val="single" w:sz="0" w:space="0" w:color="auto"/>
            </w:tcBorders>
            <w:vAlign w:val="bottom"/>
          </w:tcPr>
          <w:p w14:paraId="79434060" w14:textId="77777777" w:rsidR="00856DCA" w:rsidRDefault="00F31540">
            <w:pPr>
              <w:jc w:val="right"/>
            </w:pPr>
            <w:r>
              <w:t>Resid. Dev</w:t>
            </w:r>
          </w:p>
        </w:tc>
        <w:tc>
          <w:tcPr>
            <w:tcW w:w="0" w:type="auto"/>
            <w:tcBorders>
              <w:bottom w:val="single" w:sz="0" w:space="0" w:color="auto"/>
            </w:tcBorders>
            <w:vAlign w:val="bottom"/>
          </w:tcPr>
          <w:p w14:paraId="2409AED8" w14:textId="77777777" w:rsidR="00856DCA" w:rsidRDefault="00F31540">
            <w:pPr>
              <w:jc w:val="right"/>
            </w:pPr>
            <w:r>
              <w:t>Df</w:t>
            </w:r>
          </w:p>
        </w:tc>
        <w:tc>
          <w:tcPr>
            <w:tcW w:w="0" w:type="auto"/>
            <w:tcBorders>
              <w:bottom w:val="single" w:sz="0" w:space="0" w:color="auto"/>
            </w:tcBorders>
            <w:vAlign w:val="bottom"/>
          </w:tcPr>
          <w:p w14:paraId="228553A3" w14:textId="77777777" w:rsidR="00856DCA" w:rsidRDefault="00F31540">
            <w:pPr>
              <w:jc w:val="right"/>
            </w:pPr>
            <w:r>
              <w:t>Deviance</w:t>
            </w:r>
          </w:p>
        </w:tc>
        <w:tc>
          <w:tcPr>
            <w:tcW w:w="0" w:type="auto"/>
            <w:tcBorders>
              <w:bottom w:val="single" w:sz="0" w:space="0" w:color="auto"/>
            </w:tcBorders>
            <w:vAlign w:val="bottom"/>
          </w:tcPr>
          <w:p w14:paraId="6FE64C69" w14:textId="77777777" w:rsidR="00856DCA" w:rsidRDefault="00F31540">
            <w:pPr>
              <w:jc w:val="right"/>
            </w:pPr>
            <w:r>
              <w:t>Pr(&gt;Chi)</w:t>
            </w:r>
          </w:p>
        </w:tc>
      </w:tr>
      <w:tr w:rsidR="00856DCA" w14:paraId="1156565C" w14:textId="77777777">
        <w:tc>
          <w:tcPr>
            <w:tcW w:w="0" w:type="auto"/>
          </w:tcPr>
          <w:p w14:paraId="49F39308" w14:textId="77777777" w:rsidR="00856DCA" w:rsidRDefault="00F31540">
            <w:pPr>
              <w:jc w:val="right"/>
            </w:pPr>
            <w:r>
              <w:t>736</w:t>
            </w:r>
          </w:p>
        </w:tc>
        <w:tc>
          <w:tcPr>
            <w:tcW w:w="0" w:type="auto"/>
          </w:tcPr>
          <w:p w14:paraId="205C86C8" w14:textId="77777777" w:rsidR="00856DCA" w:rsidRDefault="00F31540">
            <w:pPr>
              <w:jc w:val="right"/>
            </w:pPr>
            <w:r>
              <w:t>20.10447</w:t>
            </w:r>
          </w:p>
        </w:tc>
        <w:tc>
          <w:tcPr>
            <w:tcW w:w="0" w:type="auto"/>
          </w:tcPr>
          <w:p w14:paraId="18AB5736" w14:textId="77777777" w:rsidR="00856DCA" w:rsidRDefault="00F31540">
            <w:pPr>
              <w:jc w:val="right"/>
            </w:pPr>
            <w:r>
              <w:t>NA</w:t>
            </w:r>
          </w:p>
        </w:tc>
        <w:tc>
          <w:tcPr>
            <w:tcW w:w="0" w:type="auto"/>
          </w:tcPr>
          <w:p w14:paraId="003D8112" w14:textId="77777777" w:rsidR="00856DCA" w:rsidRDefault="00F31540">
            <w:pPr>
              <w:jc w:val="right"/>
            </w:pPr>
            <w:r>
              <w:t>NA</w:t>
            </w:r>
          </w:p>
        </w:tc>
        <w:tc>
          <w:tcPr>
            <w:tcW w:w="0" w:type="auto"/>
          </w:tcPr>
          <w:p w14:paraId="528D49D5" w14:textId="77777777" w:rsidR="00856DCA" w:rsidRDefault="00F31540">
            <w:pPr>
              <w:jc w:val="right"/>
            </w:pPr>
            <w:r>
              <w:t>NA</w:t>
            </w:r>
          </w:p>
        </w:tc>
      </w:tr>
      <w:tr w:rsidR="00856DCA" w14:paraId="58798EC6" w14:textId="77777777">
        <w:tc>
          <w:tcPr>
            <w:tcW w:w="0" w:type="auto"/>
          </w:tcPr>
          <w:p w14:paraId="383BD174" w14:textId="77777777" w:rsidR="00856DCA" w:rsidRDefault="00F31540">
            <w:pPr>
              <w:jc w:val="right"/>
            </w:pPr>
            <w:r>
              <w:t>738</w:t>
            </w:r>
          </w:p>
        </w:tc>
        <w:tc>
          <w:tcPr>
            <w:tcW w:w="0" w:type="auto"/>
          </w:tcPr>
          <w:p w14:paraId="69DF144C" w14:textId="77777777" w:rsidR="00856DCA" w:rsidRDefault="00F31540">
            <w:pPr>
              <w:jc w:val="right"/>
            </w:pPr>
            <w:r>
              <w:t>22.11983</w:t>
            </w:r>
          </w:p>
        </w:tc>
        <w:tc>
          <w:tcPr>
            <w:tcW w:w="0" w:type="auto"/>
          </w:tcPr>
          <w:p w14:paraId="2E1A9A8D" w14:textId="77777777" w:rsidR="00856DCA" w:rsidRDefault="00F31540">
            <w:pPr>
              <w:jc w:val="right"/>
            </w:pPr>
            <w:r>
              <w:t>-2</w:t>
            </w:r>
          </w:p>
        </w:tc>
        <w:tc>
          <w:tcPr>
            <w:tcW w:w="0" w:type="auto"/>
          </w:tcPr>
          <w:p w14:paraId="4DA7DF20" w14:textId="77777777" w:rsidR="00856DCA" w:rsidRDefault="00F31540">
            <w:pPr>
              <w:jc w:val="right"/>
            </w:pPr>
            <w:r>
              <w:t>-2.015363</w:t>
            </w:r>
          </w:p>
        </w:tc>
        <w:tc>
          <w:tcPr>
            <w:tcW w:w="0" w:type="auto"/>
          </w:tcPr>
          <w:p w14:paraId="3C27A88A" w14:textId="77777777" w:rsidR="00856DCA" w:rsidRDefault="00F31540">
            <w:pPr>
              <w:jc w:val="right"/>
            </w:pPr>
            <w:r>
              <w:t>0.3650643</w:t>
            </w:r>
          </w:p>
        </w:tc>
      </w:tr>
    </w:tbl>
    <w:p w14:paraId="4A671733" w14:textId="77777777" w:rsidR="00856DCA" w:rsidRDefault="00F31540">
      <w:r>
        <w:t xml:space="preserve">ANOVA comparing a binomial GLM of the form </w:t>
      </w:r>
      <w:r>
        <w:t>bray curtis dissimilarity ~ best fitting model type to an intercept-only model. The best fitting model type model is not superior to the intercept only model (p = .37).</w:t>
      </w:r>
    </w:p>
    <w:p w14:paraId="6FF1CE20" w14:textId="77777777" w:rsidR="00856DCA" w:rsidRDefault="00F31540">
      <w:r>
        <w:br w:type="page"/>
      </w:r>
    </w:p>
    <w:p w14:paraId="2A7D9039" w14:textId="77777777" w:rsidR="00856DCA" w:rsidRDefault="00F31540">
      <w:pPr>
        <w:pStyle w:val="Heading1"/>
      </w:pPr>
      <w:bookmarkStart w:id="22" w:name="references"/>
      <w:r>
        <w:lastRenderedPageBreak/>
        <w:t>References</w:t>
      </w:r>
      <w:bookmarkEnd w:id="22"/>
    </w:p>
    <w:p w14:paraId="2E129215" w14:textId="77777777" w:rsidR="00856DCA" w:rsidRDefault="00F31540">
      <w:bookmarkStart w:id="23" w:name="ref-lenth2021"/>
      <w:bookmarkStart w:id="24" w:name="refs"/>
      <w:r>
        <w:t>Lenth, R. V. 2021. Emmeans: Estimated Marginal Means, aka Least-Squares Means.</w:t>
      </w:r>
      <w:bookmarkEnd w:id="23"/>
      <w:bookmarkEnd w:id="24"/>
    </w:p>
    <w:sectPr w:rsidR="00856DC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1BACA" w14:textId="77777777" w:rsidR="00F31540" w:rsidRDefault="00F31540">
      <w:pPr>
        <w:spacing w:before="0" w:after="0" w:line="240" w:lineRule="auto"/>
      </w:pPr>
      <w:r>
        <w:separator/>
      </w:r>
    </w:p>
  </w:endnote>
  <w:endnote w:type="continuationSeparator" w:id="0">
    <w:p w14:paraId="44FFA003" w14:textId="77777777" w:rsidR="00F31540" w:rsidRDefault="00F3154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B261E" w14:textId="77777777" w:rsidR="00F31540" w:rsidRDefault="00F31540">
      <w:r>
        <w:separator/>
      </w:r>
    </w:p>
  </w:footnote>
  <w:footnote w:type="continuationSeparator" w:id="0">
    <w:p w14:paraId="339B5E5D" w14:textId="77777777" w:rsidR="00F31540" w:rsidRDefault="00F315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F3E081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039A"/>
    <w:rsid w:val="00011C8B"/>
    <w:rsid w:val="000C01E6"/>
    <w:rsid w:val="000D4E10"/>
    <w:rsid w:val="000E3C1A"/>
    <w:rsid w:val="000E5D93"/>
    <w:rsid w:val="00105A8F"/>
    <w:rsid w:val="001F1753"/>
    <w:rsid w:val="00257FE4"/>
    <w:rsid w:val="00267E52"/>
    <w:rsid w:val="00397A01"/>
    <w:rsid w:val="003F4A3B"/>
    <w:rsid w:val="00437566"/>
    <w:rsid w:val="004B7CB9"/>
    <w:rsid w:val="004E29B3"/>
    <w:rsid w:val="00552F25"/>
    <w:rsid w:val="005755C3"/>
    <w:rsid w:val="00590D07"/>
    <w:rsid w:val="005941A3"/>
    <w:rsid w:val="005D1C7E"/>
    <w:rsid w:val="006044DF"/>
    <w:rsid w:val="00631BD2"/>
    <w:rsid w:val="006C507C"/>
    <w:rsid w:val="00723A9D"/>
    <w:rsid w:val="007671B7"/>
    <w:rsid w:val="00784D58"/>
    <w:rsid w:val="00856DCA"/>
    <w:rsid w:val="008D6863"/>
    <w:rsid w:val="00925659"/>
    <w:rsid w:val="009E0105"/>
    <w:rsid w:val="00A2756A"/>
    <w:rsid w:val="00A40D95"/>
    <w:rsid w:val="00AB3361"/>
    <w:rsid w:val="00AE3C9D"/>
    <w:rsid w:val="00B86B75"/>
    <w:rsid w:val="00BA4B6C"/>
    <w:rsid w:val="00BC48D5"/>
    <w:rsid w:val="00BF27EB"/>
    <w:rsid w:val="00C36279"/>
    <w:rsid w:val="00C6558C"/>
    <w:rsid w:val="00C925F6"/>
    <w:rsid w:val="00D84A81"/>
    <w:rsid w:val="00DD3843"/>
    <w:rsid w:val="00E16DDC"/>
    <w:rsid w:val="00E202B6"/>
    <w:rsid w:val="00E315A3"/>
    <w:rsid w:val="00F31540"/>
    <w:rsid w:val="00F63223"/>
    <w:rsid w:val="00FB418D"/>
    <w:rsid w:val="00FC21FE"/>
    <w:rsid w:val="00FF175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703AF8"/>
  <w15:docId w15:val="{94B5B7B4-E492-4643-A5A5-FF706DBA8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A7"/>
    <w:pPr>
      <w:spacing w:before="120" w:after="120" w:line="480" w:lineRule="auto"/>
    </w:pPr>
    <w:rPr>
      <w:rFonts w:ascii="Times New Roman" w:hAnsi="Times New Roman" w:cs="Times New Roman"/>
      <w:sz w:val="24"/>
      <w:szCs w:val="24"/>
    </w:rPr>
  </w:style>
  <w:style w:type="paragraph" w:styleId="Heading1">
    <w:name w:val="heading 1"/>
    <w:basedOn w:val="Normal"/>
    <w:next w:val="Normal"/>
    <w:uiPriority w:val="9"/>
    <w:qFormat/>
    <w:rsid w:val="00C9745C"/>
    <w:pPr>
      <w:keepNext/>
      <w:keepLines/>
      <w:spacing w:after="240" w:line="240" w:lineRule="auto"/>
      <w:outlineLvl w:val="0"/>
    </w:pPr>
    <w:rPr>
      <w:b/>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16</Pages>
  <Words>1828</Words>
  <Characters>10422</Characters>
  <Application>Microsoft Office Word</Application>
  <DocSecurity>0</DocSecurity>
  <Lines>86</Lines>
  <Paragraphs>24</Paragraphs>
  <ScaleCrop>false</ScaleCrop>
  <Company/>
  <LinksUpToDate>false</LinksUpToDate>
  <CharactersWithSpaces>12226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Diaz,Renata M</cp:lastModifiedBy>
  <cp:revision>41</cp:revision>
  <dcterms:created xsi:type="dcterms:W3CDTF">2022-03-07T16:16:00Z</dcterms:created>
  <dcterms:modified xsi:type="dcterms:W3CDTF">2022-03-07T18:12:00Z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output">
    <vt:lpwstr/>
  </property>
</Properties>
</file>