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د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نون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سوگند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نويسند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Noon. I swear by the pen and what the angels write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نکاتی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تایپوگرافی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خ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نخستین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تاثیرپذیری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زیبایی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تایپوگرافی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ن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خانواده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ایران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یکان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Normal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Thin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Light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Regular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Medium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Bold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ExtraBold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Black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ExtraBlack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Thin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Light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Regular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Medium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Bold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ExtraBold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Black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زبان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گذشت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زمان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کهنه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شود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بیان</w:t>
      </w:r>
      <w:r w:rsidDel="00000000" w:rsidR="00000000" w:rsidRPr="00000000">
        <w:rPr>
          <w:sz w:val="38"/>
          <w:szCs w:val="38"/>
          <w:rtl w:val="1"/>
        </w:rPr>
        <w:t xml:space="preserve">ِ </w:t>
      </w:r>
      <w:r w:rsidDel="00000000" w:rsidR="00000000" w:rsidRPr="00000000">
        <w:rPr>
          <w:sz w:val="38"/>
          <w:szCs w:val="38"/>
          <w:rtl w:val="1"/>
        </w:rPr>
        <w:t xml:space="preserve">قلم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برای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همیشه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باقی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می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ماند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ExtraBlack</w:t>
      </w:r>
      <w:r w:rsidDel="00000000" w:rsidR="00000000" w:rsidRPr="00000000">
        <w:rPr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هدینگ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ی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هدینگ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موتورهای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فاکتورهای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موتورهای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Optimization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هدینگ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1"/>
          </w:rPr>
          <w:t xml:space="preserve">فونت</w:t>
        </w:r>
      </w:hyperlink>
      <w:hyperlink r:id="rId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0000ee"/>
            <w:u w:val="single"/>
            <w:rtl w:val="1"/>
          </w:rPr>
          <w:t xml:space="preserve">ایران</w:t>
        </w:r>
      </w:hyperlink>
      <w:hyperlink r:id="rId9">
        <w:r w:rsidDel="00000000" w:rsidR="00000000" w:rsidRPr="00000000">
          <w:rPr>
            <w:color w:val="0000ee"/>
            <w:u w:val="single"/>
            <w:rtl w:val="1"/>
          </w:rPr>
          <w:t xml:space="preserve">‌</w:t>
        </w:r>
      </w:hyperlink>
      <w:hyperlink r:id="rId10">
        <w:r w:rsidDel="00000000" w:rsidR="00000000" w:rsidRPr="00000000">
          <w:rPr>
            <w:color w:val="0000ee"/>
            <w:u w:val="single"/>
            <w:rtl w:val="1"/>
          </w:rPr>
          <w:t xml:space="preserve">یکان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4)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3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36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5)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6)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4)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4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36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5)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6) </w:t>
      </w:r>
      <w:r w:rsidDel="00000000" w:rsidR="00000000" w:rsidRPr="00000000">
        <w:rPr>
          <w:rtl w:val="1"/>
        </w:rPr>
        <w:t xml:space="preserve">نابرده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م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هرگاه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ناگزیر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۱- </w:t>
      </w:r>
      <w:r w:rsidDel="00000000" w:rsidR="00000000" w:rsidRPr="00000000">
        <w:rPr>
          <w:b w:val="1"/>
          <w:rtl w:val="1"/>
        </w:rPr>
        <w:t xml:space="preserve">عرض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ستون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متنی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۷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۲- </w:t>
      </w:r>
      <w:r w:rsidDel="00000000" w:rsidR="00000000" w:rsidRPr="00000000">
        <w:rPr>
          <w:b w:val="1"/>
          <w:rtl w:val="1"/>
        </w:rPr>
        <w:t xml:space="preserve">لدینگ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یا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فاصله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نازیبایی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دندانه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لدینگ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۳- </w:t>
      </w:r>
      <w:r w:rsidDel="00000000" w:rsidR="00000000" w:rsidRPr="00000000">
        <w:rPr>
          <w:b w:val="1"/>
          <w:rtl w:val="1"/>
        </w:rPr>
        <w:t xml:space="preserve">همترازی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همترازی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Justification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پاراگراف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Thin)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Light)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Regular)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Bold)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Extra Bold)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Black)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ExtraBlack)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Thin)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Light)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Regular)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Bold)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Extra Bold)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Black)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(IRANYekan ExtraBlack)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IRANYekan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دیزاین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Roboto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Opensans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Helveteica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Roboto has a dual nature. It has a mechanical skeleton and the forms are largely geometric. At the same time, the font features friendly and open curves. While some grotesks distort their letterforms to force a rigid rhythm, Roboto doesn’t compromise, allowing letters to be settled into their natural width. This makes for a more natural reading rhythm more commonly found in humanist and serif types.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ظ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۱۲۳۴۵۶۷۸۹۰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۱۲۳٤٥٦۷۸۹٠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1234567890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1"/>
          </w:rPr>
          <w:t xml:space="preserve">کیبورد</w:t>
        </w:r>
      </w:hyperlink>
      <w:hyperlink r:id="rId1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0000ee"/>
            <w:u w:val="single"/>
            <w:rtl w:val="1"/>
          </w:rPr>
          <w:t xml:space="preserve">استاندارد</w:t>
        </w:r>
      </w:hyperlink>
      <w:hyperlink r:id="rId14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color w:val="0000ee"/>
            <w:u w:val="single"/>
            <w:rtl w:val="1"/>
          </w:rPr>
          <w:t xml:space="preserve">فارسی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ویندوز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Persian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Standard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Keyboard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1"/>
          </w:rPr>
          <w:t xml:space="preserve">این</w:t>
        </w:r>
      </w:hyperlink>
      <w:hyperlink r:id="rId1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color w:val="0000ee"/>
            <w:u w:val="single"/>
            <w:rtl w:val="1"/>
          </w:rPr>
          <w:t xml:space="preserve">آدرس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1"/>
        </w:rPr>
        <w:t xml:space="preserve">میانبر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rtl w:val="1"/>
        </w:rPr>
        <w:t xml:space="preserve">+3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۳٫۱۴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1"/>
        </w:rPr>
        <w:t xml:space="preserve">ممیز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b w:val="1"/>
          <w:rtl w:val="0"/>
        </w:rPr>
        <w:t xml:space="preserve">۳/۱۴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1"/>
        </w:rPr>
        <w:t xml:space="preserve">میانبر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Shift+2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۹٬۲۱۰٬۰۰۰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b w:val="1"/>
          <w:rtl w:val="0"/>
        </w:rPr>
        <w:t xml:space="preserve">۹,۲۱۰,۰۰۰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طلایی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۳٫۷۷۷ ÷ ۱٫۶۱۸ = ۲٫۳۳۵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۶٫۱۱۲ ÷ ۱٫۶۱۸ = ۳٫۷۷۷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۹٫۸۸۹ ÷ ۱٫۶۱۸ = ۶٫۱۱۲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۱۶ ÷ ۱٫۶۱۸ = ۹٫۸۸۹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  <w:t xml:space="preserve">.......................................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۱۶ × ۱٫۶۱۸ = ۲۵٫۸۸۸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۲۵٫۸۸۸ × ۱٫۶۱۸ = ۴۱٫۸۸۷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۴۱٫۸۸۷ × ۱٫۶۱۸ = ۶۷٫۷۷۳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۶۷٫۷۷۳ × ۱٫۶۱۸ = ۱۰۹٫۶۵۶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...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تایپوگرافی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متناسب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Modular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...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طلایی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16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ایران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یکان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phi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یونانی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۱٫۶۱۸۰۳۳۹۸۸۷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۱٫۶۱۸)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زیبایی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بازدیدکننده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مبنای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طلایی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تایپوگرافی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(۱٬۲۱۵٫۹۸۱ ، ۱٬۹۶۷٫۴۵۷ ، ۳٬۱۸۳٫۳۴۵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...).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خوانایی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غ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hyperlinks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سئو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SEO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پرکاربردترین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بازدیدکننده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مزاحمت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هایپرلینک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1"/>
          </w:rPr>
          <w:t xml:space="preserve">لینک</w:t>
        </w:r>
      </w:hyperlink>
      <w:hyperlink r:id="rId2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1">
        <w:r w:rsidDel="00000000" w:rsidR="00000000" w:rsidRPr="00000000">
          <w:rPr>
            <w:color w:val="0000ee"/>
            <w:u w:val="single"/>
            <w:rtl w:val="1"/>
          </w:rPr>
          <w:t xml:space="preserve">یا</w:t>
        </w:r>
      </w:hyperlink>
      <w:hyperlink r:id="rId2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color w:val="0000ee"/>
            <w:u w:val="single"/>
            <w:rtl w:val="1"/>
          </w:rPr>
          <w:t xml:space="preserve">پیوند</w:t>
        </w:r>
      </w:hyperlink>
      <w:hyperlink r:id="rId24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5">
        <w:r w:rsidDel="00000000" w:rsidR="00000000" w:rsidRPr="00000000">
          <w:rPr>
            <w:color w:val="0000ee"/>
            <w:u w:val="single"/>
            <w:rtl w:val="1"/>
          </w:rPr>
          <w:t xml:space="preserve">به</w:t>
        </w:r>
      </w:hyperlink>
      <w:hyperlink r:id="rId26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7">
        <w:r w:rsidDel="00000000" w:rsidR="00000000" w:rsidRPr="00000000">
          <w:rPr>
            <w:color w:val="0000ee"/>
            <w:u w:val="single"/>
            <w:rtl w:val="1"/>
          </w:rPr>
          <w:t xml:space="preserve">صفحه</w:t>
        </w:r>
      </w:hyperlink>
      <w:hyperlink r:id="rId2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9">
        <w:r w:rsidDel="00000000" w:rsidR="00000000" w:rsidRPr="00000000">
          <w:rPr>
            <w:color w:val="0000ee"/>
            <w:u w:val="single"/>
            <w:rtl w:val="1"/>
          </w:rPr>
          <w:t xml:space="preserve">اصلی</w:t>
        </w:r>
      </w:hyperlink>
      <w:hyperlink r:id="rId3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31">
        <w:r w:rsidDel="00000000" w:rsidR="00000000" w:rsidRPr="00000000">
          <w:rPr>
            <w:color w:val="0000ee"/>
            <w:u w:val="single"/>
            <w:rtl w:val="1"/>
          </w:rPr>
          <w:t xml:space="preserve">فونت</w:t>
        </w:r>
      </w:hyperlink>
      <w:hyperlink r:id="rId3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33">
        <w:r w:rsidDel="00000000" w:rsidR="00000000" w:rsidRPr="00000000">
          <w:rPr>
            <w:color w:val="0000ee"/>
            <w:u w:val="single"/>
            <w:rtl w:val="1"/>
          </w:rPr>
          <w:t xml:space="preserve">ایران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لینک</w:t>
        </w:r>
      </w:hyperlink>
      <w:hyperlink r:id="rId35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یا</w:t>
        </w:r>
      </w:hyperlink>
      <w:hyperlink r:id="rId37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38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پیوند</w:t>
        </w:r>
      </w:hyperlink>
      <w:hyperlink r:id="rId39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40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به</w:t>
        </w:r>
      </w:hyperlink>
      <w:hyperlink r:id="rId41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42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صفحه</w:t>
        </w:r>
      </w:hyperlink>
      <w:hyperlink r:id="rId43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44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اصلی</w:t>
        </w:r>
      </w:hyperlink>
      <w:hyperlink r:id="rId45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46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فونت</w:t>
        </w:r>
      </w:hyperlink>
      <w:hyperlink r:id="rId47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48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ایران</w:t>
        </w:r>
      </w:hyperlink>
      <w:hyperlink r:id="rId49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50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با</w:t>
        </w:r>
      </w:hyperlink>
      <w:hyperlink r:id="rId51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52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فونت</w:t>
        </w:r>
      </w:hyperlink>
      <w:hyperlink r:id="rId53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 </w:t>
        </w:r>
      </w:hyperlink>
      <w:hyperlink r:id="rId54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1"/>
          </w:rPr>
          <w:t xml:space="preserve">تاهوما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ترفندهایی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»).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transition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آزاردهنده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پرهیز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کانتراست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1"/>
          </w:rPr>
          <w:t xml:space="preserve">این</w:t>
        </w:r>
      </w:hyperlink>
      <w:hyperlink r:id="rId56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57">
        <w:r w:rsidDel="00000000" w:rsidR="00000000" w:rsidRPr="00000000">
          <w:rPr>
            <w:color w:val="0000ee"/>
            <w:u w:val="single"/>
            <w:rtl w:val="1"/>
          </w:rPr>
          <w:t xml:space="preserve">آدرس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720" w:lineRule="auto"/>
        <w:rPr/>
      </w:pPr>
      <w:r w:rsidDel="00000000" w:rsidR="00000000" w:rsidRPr="00000000">
        <w:rPr>
          <w:rtl w:val="1"/>
        </w:rPr>
        <w:t xml:space="preserve">ء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Copyright (c) 2018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www.fontiran.com</w:t>
        </w:r>
      </w:hyperlink>
      <w:r w:rsidDel="00000000" w:rsidR="00000000" w:rsidRPr="00000000">
        <w:rPr>
          <w:rtl w:val="0"/>
        </w:rPr>
        <w:t xml:space="preserve"> (Moslem Ebrahimi). All rights reserved.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To use this font, it is necessary to obtain the license from www.fontiran.com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fontiran.com" TargetMode="External"/><Relationship Id="rId42" Type="http://schemas.openxmlformats.org/officeDocument/2006/relationships/hyperlink" Target="http://fontiran.com" TargetMode="External"/><Relationship Id="rId41" Type="http://schemas.openxmlformats.org/officeDocument/2006/relationships/hyperlink" Target="http://fontiran.com" TargetMode="External"/><Relationship Id="rId44" Type="http://schemas.openxmlformats.org/officeDocument/2006/relationships/hyperlink" Target="http://fontiran.com" TargetMode="External"/><Relationship Id="rId43" Type="http://schemas.openxmlformats.org/officeDocument/2006/relationships/hyperlink" Target="http://fontiran.com" TargetMode="External"/><Relationship Id="rId46" Type="http://schemas.openxmlformats.org/officeDocument/2006/relationships/hyperlink" Target="http://fontiran.com" TargetMode="External"/><Relationship Id="rId45" Type="http://schemas.openxmlformats.org/officeDocument/2006/relationships/hyperlink" Target="http://fontira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ontiran.com" TargetMode="External"/><Relationship Id="rId48" Type="http://schemas.openxmlformats.org/officeDocument/2006/relationships/hyperlink" Target="http://fontiran.com" TargetMode="External"/><Relationship Id="rId47" Type="http://schemas.openxmlformats.org/officeDocument/2006/relationships/hyperlink" Target="http://fontiran.com" TargetMode="External"/><Relationship Id="rId49" Type="http://schemas.openxmlformats.org/officeDocument/2006/relationships/hyperlink" Target="http://fontiran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fontiran.com" TargetMode="External"/><Relationship Id="rId7" Type="http://schemas.openxmlformats.org/officeDocument/2006/relationships/hyperlink" Target="http://fontiran.com" TargetMode="External"/><Relationship Id="rId8" Type="http://schemas.openxmlformats.org/officeDocument/2006/relationships/hyperlink" Target="http://fontiran.com" TargetMode="External"/><Relationship Id="rId31" Type="http://schemas.openxmlformats.org/officeDocument/2006/relationships/hyperlink" Target="http://fontiran.com" TargetMode="External"/><Relationship Id="rId30" Type="http://schemas.openxmlformats.org/officeDocument/2006/relationships/hyperlink" Target="http://fontiran.com" TargetMode="External"/><Relationship Id="rId33" Type="http://schemas.openxmlformats.org/officeDocument/2006/relationships/hyperlink" Target="http://fontiran.com" TargetMode="External"/><Relationship Id="rId32" Type="http://schemas.openxmlformats.org/officeDocument/2006/relationships/hyperlink" Target="http://fontiran.com" TargetMode="External"/><Relationship Id="rId35" Type="http://schemas.openxmlformats.org/officeDocument/2006/relationships/hyperlink" Target="http://fontiran.com" TargetMode="External"/><Relationship Id="rId34" Type="http://schemas.openxmlformats.org/officeDocument/2006/relationships/hyperlink" Target="http://fontiran.com" TargetMode="External"/><Relationship Id="rId37" Type="http://schemas.openxmlformats.org/officeDocument/2006/relationships/hyperlink" Target="http://fontiran.com" TargetMode="External"/><Relationship Id="rId36" Type="http://schemas.openxmlformats.org/officeDocument/2006/relationships/hyperlink" Target="http://fontiran.com" TargetMode="External"/><Relationship Id="rId39" Type="http://schemas.openxmlformats.org/officeDocument/2006/relationships/hyperlink" Target="http://fontiran.com" TargetMode="External"/><Relationship Id="rId38" Type="http://schemas.openxmlformats.org/officeDocument/2006/relationships/hyperlink" Target="http://fontiran.com" TargetMode="External"/><Relationship Id="rId20" Type="http://schemas.openxmlformats.org/officeDocument/2006/relationships/hyperlink" Target="http://fontiran.com" TargetMode="External"/><Relationship Id="rId22" Type="http://schemas.openxmlformats.org/officeDocument/2006/relationships/hyperlink" Target="http://fontiran.com" TargetMode="External"/><Relationship Id="rId21" Type="http://schemas.openxmlformats.org/officeDocument/2006/relationships/hyperlink" Target="http://fontiran.com" TargetMode="External"/><Relationship Id="rId24" Type="http://schemas.openxmlformats.org/officeDocument/2006/relationships/hyperlink" Target="http://fontiran.com" TargetMode="External"/><Relationship Id="rId23" Type="http://schemas.openxmlformats.org/officeDocument/2006/relationships/hyperlink" Target="http://fontiran.com" TargetMode="External"/><Relationship Id="rId26" Type="http://schemas.openxmlformats.org/officeDocument/2006/relationships/hyperlink" Target="http://fontiran.com" TargetMode="External"/><Relationship Id="rId25" Type="http://schemas.openxmlformats.org/officeDocument/2006/relationships/hyperlink" Target="http://fontiran.com" TargetMode="External"/><Relationship Id="rId28" Type="http://schemas.openxmlformats.org/officeDocument/2006/relationships/hyperlink" Target="http://fontiran.com" TargetMode="External"/><Relationship Id="rId27" Type="http://schemas.openxmlformats.org/officeDocument/2006/relationships/hyperlink" Target="http://fontiran.com" TargetMode="External"/><Relationship Id="rId29" Type="http://schemas.openxmlformats.org/officeDocument/2006/relationships/hyperlink" Target="http://fontiran.com" TargetMode="External"/><Relationship Id="rId51" Type="http://schemas.openxmlformats.org/officeDocument/2006/relationships/hyperlink" Target="http://fontiran.com" TargetMode="External"/><Relationship Id="rId50" Type="http://schemas.openxmlformats.org/officeDocument/2006/relationships/hyperlink" Target="http://fontiran.com" TargetMode="External"/><Relationship Id="rId53" Type="http://schemas.openxmlformats.org/officeDocument/2006/relationships/hyperlink" Target="http://fontiran.com" TargetMode="External"/><Relationship Id="rId52" Type="http://schemas.openxmlformats.org/officeDocument/2006/relationships/hyperlink" Target="http://fontiran.com" TargetMode="External"/><Relationship Id="rId11" Type="http://schemas.openxmlformats.org/officeDocument/2006/relationships/hyperlink" Target="http://fontiran.com/%d9%86%d8%b5%d8%a8-%da%a9%db%8c%d8%a8%d9%88%d8%b1%d8%af-%d9%81%d8%a7%d8%b1%d8%b3%db%8c-%d8%a7%d8%b3%d8%aa%d8%a7%d9%86%d8%af%d8%a7%d8%b1%d8%af-%d8%af%d8%b1-%d9%88%db%8c%d9%86%d8%af%d9%88%d8%b28-%d9%88/" TargetMode="External"/><Relationship Id="rId55" Type="http://schemas.openxmlformats.org/officeDocument/2006/relationships/hyperlink" Target="http://fontiran.com/%d9%86%d8%b5%d8%a8-%d9%81%d9%88%d9%86%d8%aa-%d8%a7%db%8c%d8%b1%d8%a7%d9%86-%d8%b3%d9%86%d8%b3-iransans-%d8%b1%d9%88%db%8c-%d9%88%d8%a8%d8%b3%d8%a7%db%8c%d8%aa/" TargetMode="External"/><Relationship Id="rId10" Type="http://schemas.openxmlformats.org/officeDocument/2006/relationships/hyperlink" Target="http://fontiran.com" TargetMode="External"/><Relationship Id="rId54" Type="http://schemas.openxmlformats.org/officeDocument/2006/relationships/hyperlink" Target="http://fontiran.com" TargetMode="External"/><Relationship Id="rId13" Type="http://schemas.openxmlformats.org/officeDocument/2006/relationships/hyperlink" Target="http://fontiran.com/%d9%86%d8%b5%d8%a8-%da%a9%db%8c%d8%a8%d9%88%d8%b1%d8%af-%d9%81%d8%a7%d8%b1%d8%b3%db%8c-%d8%a7%d8%b3%d8%aa%d8%a7%d9%86%d8%af%d8%a7%d8%b1%d8%af-%d8%af%d8%b1-%d9%88%db%8c%d9%86%d8%af%d9%88%d8%b28-%d9%88/" TargetMode="External"/><Relationship Id="rId57" Type="http://schemas.openxmlformats.org/officeDocument/2006/relationships/hyperlink" Target="http://fontiran.com/%d9%86%d8%b5%d8%a8-%d9%81%d9%88%d9%86%d8%aa-%d8%a7%db%8c%d8%b1%d8%a7%d9%86-%d8%b3%d9%86%d8%b3-iransans-%d8%b1%d9%88%db%8c-%d9%88%d8%a8%d8%b3%d8%a7%db%8c%d8%aa/" TargetMode="External"/><Relationship Id="rId12" Type="http://schemas.openxmlformats.org/officeDocument/2006/relationships/hyperlink" Target="http://fontiran.com/%d9%86%d8%b5%d8%a8-%da%a9%db%8c%d8%a8%d9%88%d8%b1%d8%af-%d9%81%d8%a7%d8%b1%d8%b3%db%8c-%d8%a7%d8%b3%d8%aa%d8%a7%d9%86%d8%af%d8%a7%d8%b1%d8%af-%d8%af%d8%b1-%d9%88%db%8c%d9%86%d8%af%d9%88%d8%b28-%d9%88/" TargetMode="External"/><Relationship Id="rId56" Type="http://schemas.openxmlformats.org/officeDocument/2006/relationships/hyperlink" Target="http://fontiran.com/%d9%86%d8%b5%d8%a8-%d9%81%d9%88%d9%86%d8%aa-%d8%a7%db%8c%d8%b1%d8%a7%d9%86-%d8%b3%d9%86%d8%b3-iransans-%d8%b1%d9%88%db%8c-%d9%88%d8%a8%d8%b3%d8%a7%db%8c%d8%aa/" TargetMode="External"/><Relationship Id="rId15" Type="http://schemas.openxmlformats.org/officeDocument/2006/relationships/hyperlink" Target="http://fontiran.com/%d9%86%d8%b5%d8%a8-%da%a9%db%8c%d8%a8%d9%88%d8%b1%d8%af-%d9%81%d8%a7%d8%b1%d8%b3%db%8c-%d8%a7%d8%b3%d8%aa%d8%a7%d9%86%d8%af%d8%a7%d8%b1%d8%af-%d8%af%d8%b1-%d9%88%db%8c%d9%86%d8%af%d9%88%d8%b28-%d9%88/" TargetMode="External"/><Relationship Id="rId14" Type="http://schemas.openxmlformats.org/officeDocument/2006/relationships/hyperlink" Target="http://fontiran.com/%d9%86%d8%b5%d8%a8-%da%a9%db%8c%d8%a8%d9%88%d8%b1%d8%af-%d9%81%d8%a7%d8%b1%d8%b3%db%8c-%d8%a7%d8%b3%d8%aa%d8%a7%d9%86%d8%af%d8%a7%d8%b1%d8%af-%d8%af%d8%b1-%d9%88%db%8c%d9%86%d8%af%d9%88%d8%b28-%d9%88/" TargetMode="External"/><Relationship Id="rId58" Type="http://schemas.openxmlformats.org/officeDocument/2006/relationships/hyperlink" Target="http://fontiran.com" TargetMode="External"/><Relationship Id="rId17" Type="http://schemas.openxmlformats.org/officeDocument/2006/relationships/hyperlink" Target="http://persian-computing.ir/download/Iranian_Standard_Persian_Keyboard_(ISIRI_9147)_(Version_2.0).zip" TargetMode="External"/><Relationship Id="rId16" Type="http://schemas.openxmlformats.org/officeDocument/2006/relationships/hyperlink" Target="http://persian-computing.ir/download/Iranian_Standard_Persian_Keyboard_(ISIRI_9147)_(Version_2.0).zip" TargetMode="External"/><Relationship Id="rId19" Type="http://schemas.openxmlformats.org/officeDocument/2006/relationships/hyperlink" Target="http://fontiran.com" TargetMode="External"/><Relationship Id="rId18" Type="http://schemas.openxmlformats.org/officeDocument/2006/relationships/hyperlink" Target="http://persian-computing.ir/download/Iranian_Standard_Persian_Keyboard_(ISIRI_9147)_(Version_2.0)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