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1CB1" w14:textId="77777777" w:rsidR="00C8199A" w:rsidRDefault="002A36AD">
      <w:pPr>
        <w:pStyle w:val="Title"/>
        <w:jc w:val="center"/>
      </w:pPr>
      <w:r>
        <w:t>RTI Demo - Notebook Workflow to Ontology v2</w:t>
      </w:r>
    </w:p>
    <w:p w14:paraId="03DFA77E" w14:textId="77777777" w:rsidR="00C8199A" w:rsidRDefault="002A36AD">
      <w:pPr>
        <w:jc w:val="center"/>
      </w:pPr>
      <w:r>
        <w:rPr>
          <w:color w:val="646464"/>
          <w:sz w:val="18"/>
        </w:rPr>
        <w:t>Fabric RTI / Ontology v2-only workflow and readiness boundaries</w:t>
      </w:r>
    </w:p>
    <w:p w14:paraId="3629438C" w14:textId="77777777" w:rsidR="00C8199A" w:rsidRDefault="002A36AD">
      <w:pPr>
        <w:pStyle w:val="Heading1"/>
      </w:pPr>
      <w:r>
        <w:t>Notebook flow and generation contract</w:t>
      </w:r>
    </w:p>
    <w:p>
      <w:r>
        <w:t>This workflow supports Ontology v2 only. Creation explicitly submits properties.generation as integer 2 and a TMDL definition containing database.tmdl, model.tmdl, and default namespace metadata. Live item metadata and definition readbacks must agree with that contract before the ontology can be used.</w:t>
      </w:r>
    </w:p>
    <w:p>
      <w:r>
        <w:t>An existing generation-1 ontology is rejected, not automatically migrated, overwritten, or deleted. Select a separate verified v2 target. The REST /v1 route and environment name suffix V9 are not ontology generation indicators.</w:t>
      </w:r>
    </w:p>
    <w:p>
      <w:r>
        <w:t>Canonical RTI_004_build_ontology_mapping_rti_structured, RTI_005_entity_DataBinding_rti_structured, and RTI_006_TimeSeriesBinding_RTI_signal notebook names remain unchanged. Generation is determined from live metadata and TMDL, not filenames.</w:t>
      </w:r>
    </w:p>
    <w:p>
      <w:r>
        <w:t>All Spark notebooks, including every Weather notebook, require Fabric Runtime 2.0 (Spark 4.1 / Python 3.13), with no older-runtime exceptions or downgrade fallback. The local deployer sets and verifies the workspace default and verifies every published Environment override before starting setup. Weather uses its published Runtime 2.0 Environment and the Python-3.13-compatible library pins tracked in the repository.</w:t>
      </w:r>
    </w:p>
    <w:tbl>
      <w:tblPr>
        <w:tblStyle w:val="TableGrid"/>
        <w:tblW w:w="0" w:type="auto"/>
        <w:jc w:val="center"/>
        <w:tblLook w:val="04A0" w:firstRow="1" w:lastRow="0" w:firstColumn="1" w:lastColumn="0" w:noHBand="0" w:noVBand="1"/>
      </w:tblPr>
      <w:tblGrid>
        <w:gridCol w:w="5034"/>
        <w:gridCol w:w="5036"/>
      </w:tblGrid>
      <w:tr w:rsidR="00C8199A" w14:paraId="250B45C6" w14:textId="77777777">
        <w:trPr>
          <w:jc w:val="center"/>
        </w:trPr>
        <w:tc>
          <w:tcPr>
            <w:tcW w:w="5040" w:type="dxa"/>
            <w:shd w:val="clear" w:color="auto" w:fill="DDEBF7"/>
            <w:vAlign w:val="center"/>
          </w:tcPr>
          <w:p w14:paraId="6811233B" w14:textId="77777777" w:rsidR="00C8199A" w:rsidRDefault="002A36AD">
            <w:r>
              <w:rPr>
                <w:b/>
                <w:sz w:val="18"/>
              </w:rPr>
              <w:t>Notebook</w:t>
            </w:r>
          </w:p>
        </w:tc>
        <w:tc>
          <w:tcPr>
            <w:tcW w:w="5040" w:type="dxa"/>
            <w:shd w:val="clear" w:color="auto" w:fill="DDEBF7"/>
            <w:vAlign w:val="center"/>
          </w:tcPr>
          <w:p w14:paraId="7481724F" w14:textId="77777777" w:rsidR="00C8199A" w:rsidRDefault="002A36AD">
            <w:r>
              <w:rPr>
                <w:b/>
                <w:sz w:val="18"/>
              </w:rPr>
              <w:t>Role</w:t>
            </w:r>
          </w:p>
        </w:tc>
      </w:tr>
      <w:tr w:rsidR="00C8199A" w14:paraId="02DF554C" w14:textId="77777777">
        <w:trPr>
          <w:jc w:val="center"/>
        </w:trPr>
        <w:tc>
          <w:tcPr>
            <w:tcW w:w="5040" w:type="dxa"/>
            <w:vAlign w:val="center"/>
          </w:tcPr>
          <w:p w14:paraId="3C80872F" w14:textId="77777777" w:rsidR="00C8199A" w:rsidRDefault="002A36AD">
            <w:r>
              <w:rPr>
                <w:sz w:val="18"/>
              </w:rPr>
              <w:t>000</w:t>
            </w:r>
          </w:p>
        </w:tc>
        <w:tc>
          <w:tcPr>
            <w:tcW w:w="5040" w:type="dxa"/>
            <w:vAlign w:val="center"/>
          </w:tcPr>
          <w:p w14:paraId="29CEF024" w14:textId="77777777" w:rsidR="00C8199A" w:rsidRDefault="002A36AD">
            <w:r>
              <w:rPr>
                <w:sz w:val="18"/>
              </w:rPr>
              <w:t>Dataset / documentation notebook.</w:t>
            </w:r>
          </w:p>
        </w:tc>
      </w:tr>
      <w:tr w:rsidR="00C8199A" w14:paraId="7AEFEFD8" w14:textId="77777777">
        <w:trPr>
          <w:jc w:val="center"/>
        </w:trPr>
        <w:tc>
          <w:tcPr>
            <w:tcW w:w="5040" w:type="dxa"/>
            <w:vAlign w:val="center"/>
          </w:tcPr>
          <w:p w14:paraId="4CD7EB46" w14:textId="77777777" w:rsidR="00C8199A" w:rsidRDefault="002A36AD">
            <w:r>
              <w:rPr>
                <w:sz w:val="18"/>
              </w:rPr>
              <w:t>001</w:t>
            </w:r>
          </w:p>
        </w:tc>
        <w:tc>
          <w:tcPr>
            <w:tcW w:w="5040" w:type="dxa"/>
            <w:vAlign w:val="center"/>
          </w:tcPr>
          <w:p w14:paraId="1269ABC9" w14:textId="77777777" w:rsidR="00C8199A" w:rsidRDefault="002A36AD">
            <w:r>
              <w:rPr>
                <w:sz w:val="18"/>
              </w:rPr>
              <w:t>Creates/resolves the Lakehouse and shared settings; remaps downstream Lakehouse metadata.</w:t>
            </w:r>
          </w:p>
        </w:tc>
      </w:tr>
      <w:tr w:rsidR="00C8199A" w14:paraId="68A6469E" w14:textId="77777777">
        <w:trPr>
          <w:jc w:val="center"/>
        </w:trPr>
        <w:tc>
          <w:tcPr>
            <w:tcW w:w="5040" w:type="dxa"/>
            <w:vAlign w:val="center"/>
          </w:tcPr>
          <w:p w14:paraId="61D129A7" w14:textId="77777777" w:rsidR="00C8199A" w:rsidRDefault="002A36AD">
            <w:r>
              <w:rPr>
                <w:sz w:val="18"/>
              </w:rPr>
              <w:t>002</w:t>
            </w:r>
          </w:p>
        </w:tc>
        <w:tc>
          <w:tcPr>
            <w:tcW w:w="5040" w:type="dxa"/>
            <w:vAlign w:val="center"/>
          </w:tcPr>
          <w:p w14:paraId="3037D2FF" w14:textId="77777777" w:rsidR="00C8199A" w:rsidRDefault="002A36AD">
            <w:r>
              <w:rPr>
                <w:sz w:val="18"/>
              </w:rPr>
              <w:t>Sets up the Eventhouse, KQL database, telemetry table and Eventstream. Waits for asynchronous Eventstream creation/update operations and verifies endpoint readiness before saving settings.</w:t>
            </w:r>
          </w:p>
        </w:tc>
      </w:tr>
      <w:tr w:rsidR="00C8199A" w14:paraId="38AB4A40" w14:textId="77777777">
        <w:trPr>
          <w:jc w:val="center"/>
        </w:trPr>
        <w:tc>
          <w:tcPr>
            <w:tcW w:w="5040" w:type="dxa"/>
            <w:vAlign w:val="center"/>
          </w:tcPr>
          <w:p w14:paraId="4DF00E43" w14:textId="77777777" w:rsidR="00C8199A" w:rsidRDefault="002A36AD">
            <w:r>
              <w:rPr>
                <w:sz w:val="18"/>
              </w:rPr>
              <w:t>003</w:t>
            </w:r>
          </w:p>
        </w:tc>
        <w:tc>
          <w:tcPr>
            <w:tcW w:w="5040" w:type="dxa"/>
            <w:vAlign w:val="center"/>
          </w:tcPr>
          <w:p w14:paraId="0D600BA4" w14:textId="77777777" w:rsidR="00C8199A" w:rsidRDefault="002A36AD">
            <w:r>
              <w:rPr>
                <w:sz w:val="18"/>
              </w:rPr>
              <w:t>Transforms structured source data into Lakehouse silver tables.</w:t>
            </w:r>
          </w:p>
        </w:tc>
      </w:tr>
      <w:tr w:rsidR="00C8199A" w14:paraId="5E7C153A" w14:textId="77777777">
        <w:trPr>
          <w:jc w:val="center"/>
        </w:trPr>
        <w:tc>
          <w:tcPr>
            <w:tcW w:w="5040" w:type="dxa"/>
            <w:vAlign w:val="center"/>
          </w:tcPr>
          <w:p w14:paraId="1E4C5185" w14:textId="77777777" w:rsidR="00C8199A" w:rsidRDefault="002A36AD">
            <w:r>
              <w:rPr>
                <w:sz w:val="18"/>
              </w:rPr>
              <w:t>004</w:t>
            </w:r>
          </w:p>
        </w:tc>
        <w:tc>
          <w:tcPr>
            <w:tcW w:w="5040" w:type="dxa"/>
            <w:vAlign w:val="center"/>
          </w:tcPr>
          <w:p w14:paraId="70E00DBE" w14:textId="77777777" w:rsidR="00C8199A" w:rsidRDefault="002A36AD">
            <w:r>
              <w:rPr>
                <w:sz w:val="18"/>
              </w:rPr>
              <w:t>Builds v2 TMDL entities and semantic relationships with strict generation checks.</w:t>
            </w:r>
          </w:p>
        </w:tc>
      </w:tr>
      <w:tr w:rsidR="00C8199A" w14:paraId="57484843" w14:textId="77777777">
        <w:trPr>
          <w:jc w:val="center"/>
        </w:trPr>
        <w:tc>
          <w:tcPr>
            <w:tcW w:w="5040" w:type="dxa"/>
            <w:vAlign w:val="center"/>
          </w:tcPr>
          <w:p w14:paraId="59473ECA" w14:textId="77777777" w:rsidR="00C8199A" w:rsidRDefault="002A36AD">
            <w:r>
              <w:rPr>
                <w:sz w:val="18"/>
              </w:rPr>
              <w:t>005</w:t>
            </w:r>
          </w:p>
        </w:tc>
        <w:tc>
          <w:tcPr>
            <w:tcW w:w="5040" w:type="dxa"/>
            <w:vAlign w:val="center"/>
          </w:tcPr>
          <w:p w14:paraId="1D40BABB" w14:textId="77777777" w:rsidR="00C8199A" w:rsidRDefault="002A36AD">
            <w:r>
              <w:rPr>
                <w:sz w:val="18"/>
              </w:rPr>
              <w:t>Binds static entity properties to DirectLake backing tables and physical relationships.</w:t>
            </w:r>
          </w:p>
        </w:tc>
      </w:tr>
      <w:tr w:rsidR="00C8199A" w14:paraId="0E869423" w14:textId="77777777">
        <w:trPr>
          <w:jc w:val="center"/>
        </w:trPr>
        <w:tc>
          <w:tcPr>
            <w:tcW w:w="5040" w:type="dxa"/>
            <w:vAlign w:val="center"/>
          </w:tcPr>
          <w:p w14:paraId="0B091240" w14:textId="77777777" w:rsidR="00C8199A" w:rsidRDefault="002A36AD">
            <w:r>
              <w:rPr>
                <w:sz w:val="18"/>
              </w:rPr>
              <w:t>006</w:t>
            </w:r>
          </w:p>
        </w:tc>
        <w:tc>
          <w:tcPr>
            <w:tcW w:w="5040" w:type="dxa"/>
            <w:vAlign w:val="center"/>
          </w:tcPr>
          <w:p w14:paraId="760DE7E8" w14:textId="77777777" w:rsidR="00C8199A" w:rsidRDefault="002A36AD">
            <w:r>
              <w:rPr>
                <w:sz w:val="18"/>
              </w:rPr>
              <w:t>Binds Eventhouse timeSeries backing data to signal_master.</w:t>
            </w:r>
          </w:p>
        </w:tc>
      </w:tr>
      <w:tr w:rsidR="00C8199A" w14:paraId="73DA02CA" w14:textId="77777777">
        <w:trPr>
          <w:jc w:val="center"/>
        </w:trPr>
        <w:tc>
          <w:tcPr>
            <w:tcW w:w="5040" w:type="dxa"/>
            <w:vAlign w:val="center"/>
          </w:tcPr>
          <w:p w14:paraId="5BEDC912" w14:textId="77777777" w:rsidR="00C8199A" w:rsidRDefault="002A36AD">
            <w:r>
              <w:rPr>
                <w:sz w:val="18"/>
              </w:rPr>
              <w:t>007</w:t>
            </w:r>
          </w:p>
        </w:tc>
        <w:tc>
          <w:tcPr>
            <w:tcW w:w="5040" w:type="dxa"/>
            <w:vAlign w:val="center"/>
          </w:tcPr>
          <w:p w14:paraId="4C47A6E2" w14:textId="77777777" w:rsidR="00C8199A" w:rsidRDefault="002A36AD">
            <w:r>
              <w:rPr>
                <w:sz w:val="18"/>
              </w:rPr>
              <w:t>Configures the telemetry stream and generates OPC UA values.</w:t>
            </w:r>
          </w:p>
        </w:tc>
      </w:tr>
      <w:tr w:rsidR="00C8199A" w14:paraId="153178CB" w14:textId="77777777">
        <w:trPr>
          <w:jc w:val="center"/>
        </w:trPr>
        <w:tc>
          <w:tcPr>
            <w:tcW w:w="5040" w:type="dxa"/>
            <w:vAlign w:val="center"/>
          </w:tcPr>
          <w:p w14:paraId="0DAA05A8" w14:textId="77777777" w:rsidR="00C8199A" w:rsidRDefault="002A36AD">
            <w:r>
              <w:rPr>
                <w:sz w:val="18"/>
              </w:rPr>
              <w:t>008 / 009 / 010 / 011</w:t>
            </w:r>
          </w:p>
        </w:tc>
        <w:tc>
          <w:tcPr>
            <w:tcW w:w="5040" w:type="dxa"/>
            <w:vAlign w:val="center"/>
          </w:tcPr>
          <w:p w14:paraId="4EA7C4B0" w14:textId="77777777" w:rsidR="00C8199A" w:rsidRDefault="002A36AD">
            <w:r>
              <w:rPr>
                <w:sz w:val="18"/>
              </w:rPr>
              <w:t>Dashboard / default-enabled Data Agent and Operations Agent / playbook, actions, Teams, and email-alert provisioning / SQL and GraphQL setup. See readiness rules below.</w:t>
            </w:r>
          </w:p>
        </w:tc>
      </w:tr>
    </w:tbl>
    <w:p w14:paraId="25F3C9F5" w14:textId="77777777" w:rsidR="00C8199A" w:rsidRDefault="002A36AD">
      <w:pPr>
        <w:pStyle w:val="Heading1"/>
      </w:pPr>
      <w:r>
        <w:t>001 - Create shared foundation</w:t>
      </w:r>
    </w:p>
    <w:p w14:paraId="1497770D" w14:textId="77777777" w:rsidR="00C8199A" w:rsidRDefault="002A36AD">
      <w:pPr>
        <w:spacing w:after="40"/>
        <w:ind w:left="317" w:hanging="173"/>
      </w:pPr>
      <w:r>
        <w:rPr>
          <w:b/>
        </w:rPr>
        <w:t xml:space="preserve">• </w:t>
      </w:r>
      <w:r>
        <w:t>Creates or resolves the Lakehouse foundation, configures the selected source path, and writes the shared settings table: rti_demo_settings.</w:t>
      </w:r>
    </w:p>
    <w:p w14:paraId="11BEE64C" w14:textId="77777777" w:rsidR="00C8199A" w:rsidRDefault="002A36AD">
      <w:pPr>
        <w:spacing w:after="40"/>
        <w:ind w:left="317" w:hanging="173"/>
      </w:pPr>
      <w:r>
        <w:rPr>
          <w:b/>
        </w:rPr>
        <w:t xml:space="preserve">• </w:t>
      </w:r>
      <w:r>
        <w:t>The settings table becomes the source of truth for later notebooks.</w:t>
      </w:r>
    </w:p>
    <w:p w14:paraId="6395AA67" w14:textId="77777777" w:rsidR="00C8199A" w:rsidRDefault="002A36AD">
      <w:pPr>
        <w:spacing w:after="40"/>
        <w:ind w:left="317" w:hanging="173"/>
      </w:pPr>
      <w:r>
        <w:rPr>
          <w:b/>
        </w:rPr>
        <w:t xml:space="preserve">• </w:t>
      </w:r>
      <w:r>
        <w:t>Remaps downstream notebook Lakehouse metadata to the selected workspace/Lakehouse. Later notebooks use shared settings instead of hardcoded workspace, item, folder, or table names.</w:t>
      </w:r>
    </w:p>
    <w:p w14:paraId="7FB7257A" w14:textId="77777777" w:rsidR="00C8199A" w:rsidRDefault="002A36AD">
      <w:pPr>
        <w:pStyle w:val="CodeBlock"/>
        <w:shd w:val="clear" w:color="auto" w:fill="F3F6F8"/>
        <w:spacing w:after="100"/>
      </w:pPr>
      <w:r>
        <w:t>rti_demo_settings includes:</w:t>
        <w:br/>
        <w:t>workspace_id</w:t>
        <w:br/>
        <w:t>workspace_folder_path</w:t>
        <w:br/>
        <w:t>target_folder_id</w:t>
        <w:br/>
        <w:t>lakehouse_name / lakehouse_id</w:t>
        <w:br/>
        <w:t>ontology_name</w:t>
        <w:br/>
        <w:t>eventhouse_name / kql_database_name / eventhouse_table_name</w:t>
        <w:br/>
        <w:t>eventstream_name</w:t>
        <w:br/>
        <w:t>silver table names</w:t>
        <w:br/>
        <w:t>Key Vault settings</w:t>
      </w:r>
    </w:p>
    <w:p w14:paraId="3025C763" w14:textId="77777777" w:rsidR="00C8199A" w:rsidRDefault="002A36AD">
      <w:pPr>
        <w:pStyle w:val="Heading1"/>
      </w:pPr>
      <w:r>
        <w:t>002 - Set up Eventhouse telemetry storage</w:t>
      </w:r>
    </w:p>
    <w:p w14:paraId="345EE36D" w14:textId="77777777" w:rsidR="00C8199A" w:rsidRDefault="002A36AD">
      <w:pPr>
        <w:spacing w:after="40"/>
        <w:ind w:left="317" w:hanging="173"/>
      </w:pPr>
      <w:r>
        <w:rPr>
          <w:b/>
        </w:rPr>
        <w:t xml:space="preserve">• </w:t>
      </w:r>
      <w:r>
        <w:t>Sets up or resolves the Eventhouse, KQL database, and OPCUAEvents telemetry table used by 006 and 007.</w:t>
      </w:r>
    </w:p>
    <w:p w14:paraId="3747AADC" w14:textId="77777777" w:rsidR="00C8199A" w:rsidRDefault="002A36AD">
      <w:pPr>
        <w:spacing w:after="40"/>
        <w:ind w:left="317" w:hanging="173"/>
      </w:pPr>
      <w:r>
        <w:rPr>
          <w:b/>
        </w:rPr>
        <w:t xml:space="preserve">• </w:t>
      </w:r>
      <w:r>
        <w:t>Keep the telemetry schema aligned with event_time, opcua_node_id, value, and quality. Eventhouse remains the time-series store; telemetry is not copied into a Lakehouse ontology table.</w:t>
      </w:r>
    </w:p>
    <w:p w14:paraId="537280BA" w14:textId="77777777" w:rsidR="00C8199A" w:rsidRDefault="002A36AD">
      <w:pPr>
        <w:spacing w:after="40"/>
        <w:ind w:left="317" w:hanging="173"/>
      </w:pPr>
      <w:r>
        <w:rPr>
          <w:b/>
        </w:rPr>
        <w:t xml:space="preserve">• </w:t>
      </w:r>
      <w:r>
        <w:t>The shared sensor identity opcua_node_id links Eventhouse telemetry with signal_master static metadata.</w:t>
      </w:r>
    </w:p>
    <w:p w14:paraId="6AC1525C" w14:textId="77777777" w:rsidR="00C8199A" w:rsidRDefault="002A36AD">
      <w:pPr>
        <w:spacing w:after="40"/>
        <w:ind w:left="317" w:hanging="173"/>
      </w:pPr>
      <w:r>
        <w:rPr>
          <w:b/>
        </w:rPr>
        <w:t xml:space="preserve">• </w:t>
      </w:r>
      <w:r>
        <w:t>This storage setup does not establish agent readiness or provision an Operations Agent alert pipeline.</w:t>
      </w:r>
    </w:p>
    <w:p w14:paraId="158177C1" w14:textId="77777777" w:rsidR="00C8199A" w:rsidRDefault="002A36AD">
      <w:pPr>
        <w:pStyle w:val="CodeBlock"/>
        <w:shd w:val="clear" w:color="auto" w:fill="F3F6F8"/>
        <w:spacing w:after="100"/>
      </w:pPr>
      <w:r>
        <w:t>Sensor identity:</w:t>
        <w:br/>
        <w:t>opcua_node_id</w:t>
      </w:r>
    </w:p>
    <w:p w14:paraId="22DBE2E8" w14:textId="77777777" w:rsidR="00C8199A" w:rsidRDefault="002A36AD">
      <w:pPr>
        <w:pStyle w:val="Heading1"/>
      </w:pPr>
      <w:r>
        <w:t>003 - Ingest and transform into Lakehouse silver tables</w:t>
      </w:r>
    </w:p>
    <w:p w14:paraId="689CB62C" w14:textId="77777777" w:rsidR="00C8199A" w:rsidRDefault="002A36AD">
      <w:pPr>
        <w:spacing w:after="40"/>
        <w:ind w:left="317" w:hanging="173"/>
      </w:pPr>
      <w:r>
        <w:rPr>
          <w:b/>
        </w:rPr>
        <w:t xml:space="preserve">• </w:t>
      </w:r>
      <w:r>
        <w:t>Ingests the configured structured source and creates clean Lakehouse silver tables for the v2 ontology. The asset hierarchy is facilities -&gt; systems -&gt; equipment -&gt; instruments -&gt; signal_master.</w:t>
      </w:r>
    </w:p>
    <w:p w14:paraId="5F05924B" w14:textId="77777777" w:rsidR="00C8199A" w:rsidRDefault="002A36AD">
      <w:pPr>
        <w:spacing w:after="40"/>
        <w:ind w:left="317" w:hanging="173"/>
      </w:pPr>
      <w:r>
        <w:rPr>
          <w:b/>
        </w:rPr>
        <w:t xml:space="preserve">• </w:t>
      </w:r>
      <w:r>
        <w:t>Sensors are defined in metadata/source files, not by the ontology. Add or remove sensors there, then rerun 003 and affected downstream steps so silver_signal_master matches the source.</w:t>
      </w:r>
    </w:p>
    <w:p w14:paraId="73CA3F0E" w14:textId="77777777" w:rsidR="00C8199A" w:rsidRDefault="002A36AD">
      <w:pPr>
        <w:spacing w:after="40"/>
        <w:ind w:left="317" w:hanging="173"/>
      </w:pPr>
      <w:r>
        <w:rPr>
          <w:b/>
        </w:rPr>
        <w:lastRenderedPageBreak/>
        <w:t xml:space="preserve">• </w:t>
      </w:r>
      <w:r>
        <w:t>Each active sensor/signal is represented by one row in silver_signal_master.</w:t>
      </w:r>
    </w:p>
    <w:p w14:paraId="30E1E6EF" w14:textId="77777777" w:rsidR="00C8199A" w:rsidRDefault="002A36AD">
      <w:pPr>
        <w:pStyle w:val="CodeBlock"/>
        <w:shd w:val="clear" w:color="auto" w:fill="F3F6F8"/>
        <w:spacing w:after="100"/>
      </w:pPr>
      <w:r>
        <w:t>Core silver tables:</w:t>
        <w:br/>
        <w:t>silver_facilities</w:t>
        <w:br/>
        <w:t>silver_systems</w:t>
        <w:br/>
        <w:t>silver_equipment</w:t>
        <w:br/>
        <w:t>silver_instruments</w:t>
        <w:br/>
        <w:t>silver_signal_master</w:t>
      </w:r>
    </w:p>
    <w:p w14:paraId="6565398F" w14:textId="77777777" w:rsidR="00C8199A" w:rsidRDefault="002A36AD">
      <w:pPr>
        <w:pStyle w:val="CodeBlock"/>
        <w:shd w:val="clear" w:color="auto" w:fill="F3F6F8"/>
        <w:spacing w:after="100"/>
      </w:pPr>
      <w:r>
        <w:t>silver_signal_master contains static signal metadata:</w:t>
        <w:br/>
        <w:t>opcua_node_id</w:t>
        <w:br/>
        <w:t>tag</w:t>
        <w:br/>
        <w:t>instrument_id</w:t>
        <w:br/>
        <w:t>equipment_id</w:t>
        <w:br/>
        <w:t>system_id</w:t>
        <w:br/>
        <w:t>facility_id</w:t>
        <w:br/>
        <w:t>unit</w:t>
        <w:br/>
        <w:t>is_active</w:t>
        <w:br/>
        <w:t>signal_type</w:t>
      </w:r>
    </w:p>
    <w:p w14:paraId="775E21E0" w14:textId="77777777" w:rsidR="00C8199A" w:rsidRDefault="002A36AD">
      <w:pPr>
        <w:pStyle w:val="Heading1"/>
      </w:pPr>
      <w:r>
        <w:t>004 - Build the Ontology v2 TMDL definition</w:t>
      </w:r>
    </w:p>
    <w:p w14:paraId="71468309" w14:textId="77777777" w:rsidR="00C8199A" w:rsidRDefault="002A36AD">
      <w:pPr>
        <w:spacing w:after="40"/>
        <w:ind w:left="317" w:hanging="173"/>
      </w:pPr>
      <w:r>
        <w:rPr>
          <w:b/>
        </w:rPr>
        <w:t xml:space="preserve">• </w:t>
      </w:r>
      <w:r>
        <w:t>Reads silver schemas and writes entity declarations in entities/*.tmdl. It requires a live generation-2 target and rejects generation-1 items rather than silently converting them.</w:t>
      </w:r>
    </w:p>
    <w:p w14:paraId="391DE96E" w14:textId="77777777" w:rsidR="00C8199A" w:rsidRDefault="002A36AD">
      <w:pPr>
        <w:spacing w:after="40"/>
        <w:ind w:left="317" w:hanging="173"/>
      </w:pPr>
      <w:r>
        <w:rPr>
          <w:b/>
        </w:rPr>
        <w:t xml:space="preserve">• </w:t>
      </w:r>
      <w:r>
        <w:t>Defines the semantic entity path in entityRelationships.tmdl: signal_master -&gt; instruments -&gt; equipment -&gt; systems -&gt; facilities. This is distinct from physical table joins in relationships.tmdl.</w:t>
      </w:r>
    </w:p>
    <w:p w14:paraId="4B90EFDC" w14:textId="77777777" w:rsidR="00C8199A" w:rsidRDefault="002A36AD">
      <w:pPr>
        <w:spacing w:after="40"/>
        <w:ind w:left="317" w:hanging="173"/>
      </w:pPr>
      <w:r>
        <w:rPr>
          <w:b/>
        </w:rPr>
        <w:t xml:space="preserve">• </w:t>
      </w:r>
      <w:r>
        <w:t>signal_master uses opcua_node_id as its identity key.</w:t>
      </w:r>
    </w:p>
    <w:p w14:paraId="124EAF07" w14:textId="77777777" w:rsidR="00C8199A" w:rsidRDefault="002A36AD">
      <w:pPr>
        <w:spacing w:after="40"/>
        <w:ind w:left="317" w:hanging="173"/>
      </w:pPr>
      <w:r>
        <w:rPr>
          <w:b/>
        </w:rPr>
        <w:t xml:space="preserve">• </w:t>
      </w:r>
      <w:r>
        <w:t>Declares the signal time-series contract for event_time, value, and quality in TMDL; 006 connects it to Eventhouse timeSeries backing data. Legacy JSON EntityTypes/DataBindings are not the v2 definition format.</w:t>
      </w:r>
    </w:p>
    <w:p w14:paraId="6F9D6CCB" w14:textId="77777777" w:rsidR="00C8199A" w:rsidRDefault="002A36AD">
      <w:pPr>
        <w:spacing w:after="40"/>
        <w:ind w:left="317" w:hanging="173"/>
      </w:pPr>
      <w:r>
        <w:rPr>
          <w:b/>
        </w:rPr>
        <w:t xml:space="preserve">• </w:t>
      </w:r>
      <w:r>
        <w:t>Preserves unknown definition parts and existing bindings during reruns. Writes audit/helper tables including ontology_parts_latest, ontology_entity_audit, and ontology_relationship_audit; only verified service readback establishes success.</w:t>
      </w:r>
    </w:p>
    <w:p w14:paraId="05638C01" w14:textId="77777777" w:rsidR="00C8199A" w:rsidRDefault="002A36AD">
      <w:pPr>
        <w:pStyle w:val="CodeBlock"/>
        <w:shd w:val="clear" w:color="auto" w:fill="F3F6F8"/>
        <w:spacing w:after="100"/>
      </w:pPr>
      <w:r>
        <w:t>Entity identity keys:</w:t>
        <w:br/>
        <w:t>facilities      -&gt; facility_id</w:t>
        <w:br/>
        <w:t>systems         -&gt; system_id</w:t>
        <w:br/>
        <w:t>equipment       -&gt; equipment_id</w:t>
        <w:br/>
        <w:t>instruments     -&gt; instrument_id</w:t>
        <w:br/>
        <w:t>signal_master   -&gt; opcua_node_id</w:t>
      </w:r>
    </w:p>
    <w:p w14:paraId="56FEB756" w14:textId="77777777" w:rsidR="00C8199A" w:rsidRDefault="002A36AD">
      <w:pPr>
        <w:pStyle w:val="CodeBlock"/>
        <w:shd w:val="clear" w:color="auto" w:fill="F3F6F8"/>
        <w:spacing w:after="100"/>
      </w:pPr>
      <w:r>
        <w:t>signal_master:</w:t>
        <w:br/>
        <w:t>static properties from silver_signal_master</w:t>
        <w:br/>
        <w:t>time-series properties: event_time, value, quality</w:t>
      </w:r>
    </w:p>
    <w:p w14:paraId="04CC4832" w14:textId="77777777" w:rsidR="00C8199A" w:rsidRDefault="002A36AD">
      <w:pPr>
        <w:pStyle w:val="Heading1"/>
      </w:pPr>
      <w:r>
        <w:t>005 - Bind static data through v2 DirectLake tables</w:t>
      </w:r>
    </w:p>
    <w:p w14:paraId="2BFA537F" w14:textId="77777777" w:rsidR="00C8199A" w:rsidRDefault="002A36AD">
      <w:pPr>
        <w:spacing w:after="40"/>
        <w:ind w:left="317" w:hanging="173"/>
      </w:pPr>
      <w:r>
        <w:rPr>
          <w:b/>
        </w:rPr>
        <w:t xml:space="preserve">• </w:t>
      </w:r>
      <w:r>
        <w:t>Adds Lakehouse DirectLake backing declarations in tables/*.tmdl and connects entity properties to their backing columns.</w:t>
      </w:r>
    </w:p>
    <w:p w14:paraId="3D6204DB" w14:textId="77777777" w:rsidR="00C8199A" w:rsidRDefault="002A36AD">
      <w:pPr>
        <w:spacing w:after="40"/>
        <w:ind w:left="317" w:hanging="173"/>
      </w:pPr>
      <w:r>
        <w:rPr>
          <w:b/>
        </w:rPr>
        <w:t xml:space="preserve">• </w:t>
      </w:r>
      <w:r>
        <w:t>Binds signal_master static properties to silver_signal_master using opcua_node_id; retains existing timeSeries bindings and unrelated parts.</w:t>
      </w:r>
    </w:p>
    <w:p w14:paraId="7461179A" w14:textId="77777777" w:rsidR="00C8199A" w:rsidRDefault="002A36AD">
      <w:pPr>
        <w:spacing w:after="40"/>
        <w:ind w:left="317" w:hanging="173"/>
      </w:pPr>
      <w:r>
        <w:rPr>
          <w:b/>
        </w:rPr>
        <w:t xml:space="preserve">• </w:t>
      </w:r>
      <w:r>
        <w:t>Defines physical backing-table relationships in relationships.tmdl using instrument_id, equipment_id, system_id, and facility_id. Semantic entity relationships remain in entityRelationships.tmdl.</w:t>
      </w:r>
    </w:p>
    <w:p w14:paraId="4BD36B2D" w14:textId="77777777" w:rsidR="00C8199A" w:rsidRDefault="002A36AD">
      <w:pPr>
        <w:spacing w:after="40"/>
        <w:ind w:left="317" w:hanging="173"/>
      </w:pPr>
      <w:r>
        <w:rPr>
          <w:b/>
        </w:rPr>
        <w:t xml:space="preserve">• </w:t>
      </w:r>
      <w:r>
        <w:t>005 does not add Eventhouse telemetry bindings. It strictly reads and verifies the live v2 definition and submitted binding readback; failures are not treated as an empty model.</w:t>
      </w:r>
    </w:p>
    <w:p w14:paraId="08C37D7C" w14:textId="77777777" w:rsidR="00C8199A" w:rsidRDefault="002A36AD">
      <w:pPr>
        <w:pStyle w:val="CodeBlock"/>
        <w:shd w:val="clear" w:color="auto" w:fill="F3F6F8"/>
        <w:spacing w:after="100"/>
      </w:pPr>
      <w:r>
        <w:t>Static bindings:</w:t>
        <w:br/>
        <w:t>facilities      -&gt; silver_facilities</w:t>
        <w:br/>
        <w:t>systems         -&gt; silver_systems</w:t>
        <w:br/>
        <w:t>equipment       -&gt; silver_equipment</w:t>
        <w:br/>
        <w:t>instruments     -&gt; silver_instruments</w:t>
        <w:br/>
        <w:t>signal_master   -&gt; silver_signal_master</w:t>
      </w:r>
    </w:p>
    <w:p w14:paraId="4EB1B33F" w14:textId="77777777" w:rsidR="00C8199A" w:rsidRDefault="002A36AD">
      <w:pPr>
        <w:pStyle w:val="Heading1"/>
      </w:pPr>
      <w:r>
        <w:t>006 - Bind Eventhouse time-series data in TMDL</w:t>
      </w:r>
    </w:p>
    <w:p w14:paraId="12365061" w14:textId="77777777" w:rsidR="00C8199A" w:rsidRDefault="002A36AD">
      <w:pPr>
        <w:spacing w:after="40"/>
        <w:ind w:left="317" w:hanging="173"/>
      </w:pPr>
      <w:r>
        <w:rPr>
          <w:b/>
        </w:rPr>
        <w:t xml:space="preserve">• </w:t>
      </w:r>
      <w:r>
        <w:t>Adds Eventhouse timeSeries backing declarations in tables/*.tmdl and binds signal_master time-series properties to their source columns.</w:t>
      </w:r>
    </w:p>
    <w:p w14:paraId="48B66092" w14:textId="77777777" w:rsidR="00C8199A" w:rsidRDefault="002A36AD">
      <w:pPr>
        <w:spacing w:after="40"/>
        <w:ind w:left="317" w:hanging="173"/>
      </w:pPr>
      <w:r>
        <w:rPr>
          <w:b/>
        </w:rPr>
        <w:t xml:space="preserve">• </w:t>
      </w:r>
      <w:r>
        <w:t>Uses opcua_node_id as the shared identity and event_time as both the time-series timestamp and a standalone bound property, with value and quality as telemetry properties.</w:t>
      </w:r>
    </w:p>
    <w:p w14:paraId="17A397E2" w14:textId="77777777" w:rsidR="00C8199A" w:rsidRDefault="002A36AD">
      <w:pPr>
        <w:spacing w:after="40"/>
        <w:ind w:left="317" w:hanging="173"/>
      </w:pPr>
      <w:r>
        <w:rPr>
          <w:b/>
        </w:rPr>
        <w:lastRenderedPageBreak/>
        <w:t xml:space="preserve">• </w:t>
      </w:r>
      <w:r>
        <w:t>Retains the existing DirectLake static bindings, semantic relationships, physical relationships, and unknown definition parts.</w:t>
      </w:r>
    </w:p>
    <w:p w14:paraId="7A068094" w14:textId="77777777" w:rsidR="00C8199A" w:rsidRDefault="002A36AD">
      <w:pPr>
        <w:spacing w:after="40"/>
        <w:ind w:left="317" w:hanging="173"/>
      </w:pPr>
      <w:r>
        <w:rPr>
          <w:b/>
        </w:rPr>
        <w:t xml:space="preserve">• </w:t>
      </w:r>
      <w:r>
        <w:t>Requires strict generation and definition reads plus service readback of the submitted v2 bindings; a successful request alone is not sufficient.</w:t>
      </w:r>
    </w:p>
    <w:p w14:paraId="667FB8E8" w14:textId="77777777" w:rsidR="00C8199A" w:rsidRDefault="002A36AD">
      <w:pPr>
        <w:spacing w:after="40"/>
        <w:ind w:left="317" w:hanging="173"/>
      </w:pPr>
      <w:r>
        <w:rPr>
          <w:b/>
        </w:rPr>
        <w:t xml:space="preserve">• </w:t>
      </w:r>
      <w:r>
        <w:t>No copied RTI Lakehouse table or separate rti_measurements entity is required. This binding step does not generate telemetry; 007 does.</w:t>
      </w:r>
    </w:p>
    <w:p w14:paraId="4CE581F5" w14:textId="77777777" w:rsidR="00C8199A" w:rsidRDefault="002A36AD">
      <w:pPr>
        <w:pStyle w:val="CodeBlock"/>
        <w:shd w:val="clear" w:color="auto" w:fill="F3F6F8"/>
        <w:spacing w:after="100"/>
      </w:pPr>
      <w:r>
        <w:t>Eventhouse table OPCUAEvents is intentionally slim:</w:t>
        <w:br/>
        <w:t>event_time</w:t>
        <w:br/>
        <w:t>opcua_node_id</w:t>
        <w:br/>
        <w:t>value</w:t>
        <w:br/>
        <w:t>quality</w:t>
      </w:r>
    </w:p>
    <w:p w14:paraId="1BB78081" w14:textId="77777777" w:rsidR="00C8199A" w:rsidRDefault="002A36AD">
      <w:pPr>
        <w:pStyle w:val="Heading1"/>
      </w:pPr>
      <w:r>
        <w:t>007 - Configure the stream and generate sensor values</w:t>
      </w:r>
    </w:p>
    <w:p w14:paraId="69C988F0" w14:textId="77777777" w:rsidR="00C8199A" w:rsidRDefault="002A36AD">
      <w:pPr>
        <w:spacing w:after="40"/>
        <w:ind w:left="317" w:hanging="173"/>
      </w:pPr>
      <w:r>
        <w:rPr>
          <w:b/>
        </w:rPr>
        <w:t xml:space="preserve">• </w:t>
      </w:r>
      <w:r>
        <w:t>Configures the Eventstream path to Eventhouse and generates telemetry for sensors selected from silver_signal_master.</w:t>
      </w:r>
    </w:p>
    <w:p w14:paraId="7397423D" w14:textId="77777777" w:rsidR="00C8199A" w:rsidRDefault="002A36AD">
      <w:pPr>
        <w:spacing w:after="40"/>
        <w:ind w:left="317" w:hanging="173"/>
      </w:pPr>
      <w:r>
        <w:rPr>
          <w:b/>
        </w:rPr>
        <w:t xml:space="preserve">• </w:t>
      </w:r>
      <w:r>
        <w:t>Generated values come from the 007 simulator logic, not static metadata. Configure normal ranges, quality states, drift, spikes, stuck sensors, or other scenarios in that simulator as needed.</w:t>
      </w:r>
    </w:p>
    <w:p w14:paraId="0CD52350" w14:textId="77777777" w:rsidR="00C8199A" w:rsidRDefault="002A36AD">
      <w:pPr>
        <w:spacing w:after="40"/>
        <w:ind w:left="317" w:hanging="173"/>
      </w:pPr>
      <w:r>
        <w:rPr>
          <w:b/>
        </w:rPr>
        <w:t xml:space="preserve">• </w:t>
      </w:r>
      <w:r>
        <w:t>Telemetry rows follow the schema below. The 006 timeSeries binding connects these values to static metadata and the asset hierarchy; stream activity does not prove agent or browser readiness.</w:t>
      </w:r>
    </w:p>
    <w:p w14:paraId="67B85EFF" w14:textId="77777777" w:rsidR="00C8199A" w:rsidRDefault="002A36AD">
      <w:pPr>
        <w:pStyle w:val="CodeBlock"/>
        <w:shd w:val="clear" w:color="auto" w:fill="F3F6F8"/>
        <w:spacing w:after="100"/>
      </w:pPr>
      <w:r>
        <w:t>Eventhouse source column -&gt; Ontology target</w:t>
        <w:br/>
        <w:t>opcua_node_id       -&gt; signal_master.opcua_node_id</w:t>
        <w:br/>
        <w:t>event_time          -&gt; signal_master.event_time</w:t>
        <w:br/>
        <w:t>value               -&gt; signal_master.value</w:t>
        <w:br/>
        <w:t>quality             -&gt; signal_master.quality</w:t>
      </w:r>
    </w:p>
    <w:p w14:paraId="2721398D" w14:textId="77777777" w:rsidR="00C8199A" w:rsidRDefault="002A36AD">
      <w:pPr>
        <w:pStyle w:val="Heading1"/>
      </w:pPr>
      <w:r>
        <w:t>Combined static and time-series model</w:t>
      </w:r>
    </w:p>
    <w:p w14:paraId="40A992B1" w14:textId="77777777" w:rsidR="00C8199A" w:rsidRDefault="002A36AD">
      <w:pPr>
        <w:pStyle w:val="CodeBlock"/>
        <w:shd w:val="clear" w:color="auto" w:fill="F3F6F8"/>
        <w:spacing w:after="100"/>
      </w:pPr>
      <w:r>
        <w:t>Lakehouse</w:t>
        <w:br/>
        <w:t xml:space="preserve">  silver_signal_master = static signal metadata</w:t>
        <w:br/>
        <w:br/>
        <w:t>Eventhouse</w:t>
        <w:br/>
        <w:t xml:space="preserve">  OPCUAEvents = slim telemetry rows</w:t>
        <w:br/>
        <w:br/>
        <w:t>Ontology v2</w:t>
        <w:br/>
        <w:t xml:space="preserve">  signal_master joins both layers by opcua_node_id</w:t>
      </w:r>
    </w:p>
    <w:p>
      <w:pPr>
        <w:pStyle w:val="Heading1"/>
      </w:pPr>
      <w:r>
        <w:t>008-011 - Dashboard, agents, SQL, and GraphQL</w:t>
      </w:r>
    </w:p>
    <w:p>
      <w:r>
        <w:rPr>
          <w:b/>
        </w:rPr>
        <w:t xml:space="preserve">008 - Real-time dashboard. </w:t>
      </w:r>
      <w:r>
        <w:t>The dashboard uses Eventhouse/KQL data. Dashboard setup is separate from Ontology v2 agent availability and does not certify the entire pipeline.</w:t>
      </w:r>
    </w:p>
    <w:p>
      <w:r>
        <w:rPr>
          <w:b/>
        </w:rPr>
        <w:t xml:space="preserve">009 - Data Agent provisioning. </w:t>
      </w:r>
      <w:r>
        <w:t>Always provision the Data Agent and ontology-backed Operations Agent; there are no agent mode flags or skip branches. Core bindings and the initial standard UKMet refresh precede NB11 model preparation. The complete baseline has 16 meaningful business entity types and 21 required relationships, including operational SQL, weather-to-facility links and EquipmentType part-category eligibility. Compatible custom additions remain preserved. Both agents require successful model preparation and recheck the selected live definition before publication.</w:t>
      </w:r>
    </w:p>
    <w:p>
      <w:r>
        <w:t>The Data Agent requires verified live numeric generation 2 and the exact selected ontology ID/workspace in its source. Strict draft and published readbacks retain this identity for data_agent_publication_status=published, independent of runtime. A bounded facility-record smoke check records only its exact functional scope; it does not attest execution provenance, SQL/combined-source answers or the whole agent. Only the exact Fabric response “This API version is not supported for the specified Ontology item” after verified publication is a known non-ready product limitation. Other authentication, API, schema, readback, publication and failed or inconclusive runtime checks propagate. An agent failure cannot prevent building the complete ontology.</w:t>
      </w:r>
    </w:p>
    <w:p>
      <w:r>
        <w:rPr>
          <w:b/>
        </w:rPr>
        <w:t xml:space="preserve">010 - Operations Agent and alerts. </w:t>
      </w:r>
      <w:r>
        <w:t>ontology_operations_agent_mode defaults to enabled; auto also attempts actual provisioning and only disabled opts out. The original Operations Agent, playbook/actions, Teams configuration, and Pipe_SendEmailAlert provisioning are retained against the verified v2 ontology. Required failures propagate, not successful static skips. Configure the run-as identity and Teams destination; email delivery requires the manually created Office 365 Outlook OAuth2 mailbox connection. Strict readback records ops_agent_deployment_status=configured with the agent stopped, not runtime tested. OperationsAgentV1 names the retained business-configuration schema, not ontology generation 1. Item creation is not proof of playbook execution or alert delivery. Known issue 1970 and other external product issues are not claimed resolved by restoring this implementation.</w:t>
      </w:r>
    </w:p>
    <w:p>
      <w:r>
        <w:rPr>
          <w:b/>
        </w:rPr>
        <w:t xml:space="preserve">011 - Complete ontology, operational SQL, and Data Agent sources. </w:t>
      </w:r>
      <w:r>
        <w:t>Stage 1 provisions the independent operational Fabric SQLDatabase, not an app-owned database. Stage 2 invokes NB11 with setup_phase=“model” after core binding and initial UKMet ingestion, before either agent. It inserts only missing demo rows, validates actual operational asset/signal/instrument keys and weather relationships/current eligible-facility forecast coverage, then verifies complete authoritative bindings and relationships by readback. Missing observations are disclosed. Spare-part category eligibility does not assert installation or verified model fit; weather operating buffers are not hydrological catchments. Invalid/orphaned keys and missing/stale required forecasts fail preparation. No STID GraphQL API is created.</w:t>
      </w:r>
    </w:p>
    <w:p>
      <w:r>
        <w:t>After NB09, mandatory setup_phase=“agent” verifies the same complete live model and publishes its SQL execution adapter without seeding, migration or ontology changes. Ontology SQL bindings do not themselves prove executable SQL capability, so the verified adapter is retained rather than removing it based on metadata. SQL/custom content survives strict draft/published readback. Standalone app/deployer calls retain setup_phase=“all”; seed_demo_data=False preserves records and previous seed status. These calls validate integrity without requiring fresh provider forecasts and explicitly do not attest weather readiness. Legacy migration verifies actual source keys and ontology bindings before setting its write boundary. No graph materialization, agent execution or Teams/email delivery is certified by preparation, publication or app hosting; native instances still require Manage graph and an explicit verified graph binding.</w:t>
      </w:r>
    </w:p>
    <w:p>
      <w:pPr>
        <w:pStyle w:val="Heading1"/>
      </w:pPr>
      <w:r>
        <w:t>Application access paths and limits</w:t>
      </w:r>
    </w:p>
    <w:p>
      <w:r>
        <w:t>The application requires a live numeric generation-2 ontology, its TMDL contract, and an explicitly bound ontology-managed GraphModel. Native GQL entities and relationships are authoritative for the graph canvas, tree, and scopes. KQL telemetry and operational SQL only enrich actual native entities; GraphQL serves other pages and is not a graph dependency or fallback. No STID or foreign-key topology is fabricated. In the selected ontology choose Manage graph → select eligible entities and relationships → Continue → Materialize. Graph sources require keys and Delta or mirrored bindings; multi-backing-table signal_master may be ineligible, but native instruments still receive KQL telemetry. No published ontology-owned projection/materialization REST endpoint is established, so this is a manual portal prerequisite, not a fully unattended deployment promise.</w:t>
      </w:r>
    </w:p>
    <w:p>
      <w:r>
        <w:t>Configure RAYFIN_PUBLIC_ONTOLOGY_GRAPH_BINDING JSON with workspaceId, ontologyId, and graphModelId. Optional nodeTypes and edgeTypes map getQueryableGraphType aliases to exact ontology type names or IDs when labels differ; the namespace-label delimiter is undocumented and must not be guessed. Public REST metadata does not expose ownership: matching names, a sole graph, or structural similarity are not proof. The operator binding records the portal association; live graph metadata, contract, queryable types/endpoints, and native responses are checked for consistency. Native reads use GET graphModels/{id}/getQueryableGraphType?beta=true and POST graphModels/{id}/executeQuery?beta=true with a query body, following opaque string result.nextPage continuations. Errors, warnings, truncation, malformed or dangling results, and limits exceeding 2,000 nodes or 4,000 edges fail closed without partial topology. The observed full five-entity graph-projection blocker remains unresolved. Earlier core-only acceptance and 65 graph tests passed before restoration remain historical evidence, not current full end-to-end certification. Later bounded live attempts are recorded below for ws-vteam-demoV3, tenant ad340c84-1886-4202-a483-2da2cb9168eb. See docs/knowledge-graph.md for the complete historical and current records.</w:t>
      </w:r>
    </w:p>
    <w:p>
      <w:pPr>
        <w:pStyle w:val="Heading1"/>
      </w:pPr>
      <w:r>
        <w:t>Validation and rerun checklist</w:t>
      </w:r>
    </w:p>
    <w:p>
      <w:r>
        <w:t>Before writes: resolve the configured workspace and ontology; confirm integer generation 2; strictly read the complete live definition. A failed or malformed read must not become an empty definition. For creation, explicitly include database/model/default namespace TMDL metadata.</w:t>
      </w:r>
    </w:p>
    <w:p>
      <w:r>
        <w:t>During updates: merge only owned TMDL content and preserve unknown parts plus existing DirectLake and Eventhouse bindings. Keep entityRelationships.tmdl semantic relationships separate from relationships.tmdl physical backing relationships.</w:t>
      </w:r>
    </w:p>
    <w:p>
      <w:r>
        <w:t>After writes: read back the live generation and definition, verify the intended structure and binding content, and retain evidence of preserved parts across reruns. A successful HTTP response or local audit row alone does not establish readiness.</w:t>
      </w:r>
    </w:p>
    <w:p>
      <w:r>
        <w:t>Certification boundary: source publication, stopped-agent configuration, and native API/model checks do not certify semantic runtime, alerts, or browser end-to-end behavior. Historical core-only deployment evidence remains valid only for its recorded scope. The updated required NB09 failure-path validation passed because the job correctly failed on the actual semantic error while preserving multi-source content; ontology runtime remains blocked. Playbook activation, monitoring, action execution, and actual Teams/email delivery remain unverified.</w:t>
      </w:r>
    </w:p>
    <w:p>
      <w:pPr>
        <w:pStyle w:val="Heading1"/>
      </w:pPr>
      <w:r>
        <w:t>Latest V3 acceptance - September 30, 2026</w:t>
      </w:r>
    </w:p>
    <w:p>
      <w:r>
        <w:t>Corrective commit 8ac32e0 and live-proven Operations Agent action-type correction 70f99a4 were pushed to feat/dibakar only, not main. These results supersede earlier item identities without rewriting the historical evidence. Run identifiers below are prefixes where abbreviated; times are the reported run times.</w:t>
      </w:r>
    </w:p>
    <w:p>
      <w:r>
        <w:t>Current ontology: 0e34df51-28bd-44db-93d0-71d90bcffbf8. Ontology-managed graph: 1243b115-ca47-417a-8886-ccb7c2f16b68. Data Agent: 2fa36931-2ddd-459b-9803-a45cb8cd13ae. Operations Agent: 16024bc3-1c4f-4094-ab36-a2cfb0964987. STID GraphQL: 33b7c87b-e707-439f-a197-e734d3045ba0.</w:t>
      </w:r>
    </w:p>
    <w:p>
      <w:r>
        <w:t>The full five-entity projection still returned HTTP 400: event_time, value, and quality projected as INVALID TimeSeries properties. The selected four-entity/three-relationship graph refresh (prefix ff0d8113) completed at 15:58. The ontology retained all five entities, four relationships, and all three time-series backings; only the graph projection excludes signal_master.</w:t>
      </w:r>
    </w:p>
    <w:p>
      <w:r>
        <w:t>After deployment, the actual production application parsers and graph model passed against the new ontology and graph: 111 native nodes / 108 edges, real KQL readings for 90 signals, and a fresh SQL export produced 174 combined nodes / 171 edges and three facility scopes of 58 nodes each. STID topology inputs were empty. This is API/model evidence, not interactive graph rendering or CRUD acceptance.</w:t>
      </w:r>
    </w:p>
    <w:p>
      <w:r>
        <w:t>Weather run prefix eed6c26b completed at 16:08 with 516 forecasts, 405 observations, 516 metrics, and serving tables of 120 forecasts / 69 observations. Stream run prefix fb83f3f5 completed at 16:19 with 9,002 rows across 90 signals. RTI_011 run prefix 190fbd8a completed at 16:26: SQL and GraphQL succeeded, and five selected SQL tables were verified in the published Data Agent definition. This does not prove ontology runtime.</w:t>
      </w:r>
    </w:p>
    <w:p>
      <w:r>
        <w:t>A pre-update Data Agent MCP ontology question failed inside analyze_ontology with API version not supported despite HTTP 200 and an isError: false envelope (RootActivityId 5082e3f9-6b1e-45a5-b675-acfe7d8660e2). That historical flag is not functional success. A separate SQL-only MCP question correctly returned 12 work orders. Neither SQL success nor source publication certifies semantic runtime. The revised check has 58 focused offline tests and 102/102 parent-run full ontology regressions on Python 3.12 reported passing. The later authorized live failure-path result is recorded below; it is not a healthy ontology smoke result.</w:t>
      </w:r>
    </w:p>
    <w:p>
      <w:r>
        <w:t>Bounded smoke contract: NB09 uses the selected ontology as semantic context and permits source-native SQL on its associated Lakehouse static binding for the first five facility IDs/names. Expected values are not put in the prompt; exact records are compared with independently read configured Lakehouse rows. Fabric MCP query-result CSV attachments and generated-file footers are supported. Operational SQL, KQL and unrelated sources are excluded from this smoke; their configurations remain preserved. Evidence uses verification=ontology_context_facilities_smoke_v1 and scope “Ontology-context facilities functional smoke test; execution provenance, native ontology traversal, telemetry and operational SQL are not attested.” This does not certify native graph readiness, cryptographic provenance, the full agent, or SQL/combined-source answers. Semantic/transport errors and wrong rows fail; nonparseable, count-only, or unverifiable answers are inconclusive. Both fail required execution. SQL/custom parts, instructions and selections survive runtime-failing reruns. Historical failure evidence follows.</w:t>
      </w:r>
    </w:p>
    <w:p>
      <w:r>
        <w:t>Authorized live NB09 validation: only NB09, NB11, and setup orchestrator definitions were updated, with exact readbacks preserving metadata, attachments, parameter/configure cells, and all other parts. Only NB09 was executed, once: job b1818634-f77e-4dec-ab55-982460ecb101, September 30, 2026, 17:04:17.981Z to 17:10:55.532Z. It correctly FAILED at required readiness: “Data Agent published but ontology runtime failed: The request is invalid. This API version is not supported for the specified Ontology item.” RootActivityId 860accc8-feb7-4717-a44f-53fcf172b7c6; MCP tools/call request ef7abc1e-2b91-42ed-82d5-9ca002855319. Initialize/list/call all returned HTTP 200; the actual isError: false semantic error was detected correctly.</w:t>
      </w:r>
    </w:p>
    <w:p>
      <w:r>
        <w:t>Persisted Delta readback confirmed mode enabled, data_agent_deployment_status=failed, data_agent_publication_status=published, data_agent_runtime_status=failed, and data_agent_sql_source_status=published. The complete 16,216-character runtime evidence was valid JSON, verified from active Delta snapshot 23 through read-only OneLake; the SQL endpoint inspection read truncated it at 8,000 characters and was not used to certify completeness. Draft AND published definitions retained ontology/SQL identities, all five SQL tables, all five ontology elements, exact custom instructions/selections, and other capability content. Only publish_info.description changed from the NB11 publication note to the NB09 note; .platform and every other part were equal. After failure, SQL-only MCP still returned exactly {"workOrderCount":12}, isError: false, with no semantic error. This proves truthful required failure and preservation, not healthy ontology runtime. No retry, full setup, NB11 execution, activation, sends, reset, or further source changes occurred in this bounded validation.</w:t>
      </w:r>
    </w:p>
    <w:p>
      <w:r>
        <w:t>The initial Operations Agent request returned HTTP 400 for action type DataPipeline. Changing only that enum to the original Pipeline yielded HTTP 200 while retaining the full business configuration. RTI_010 rerun prefix 018e1356 completed with the agent configured and stopped. The actual Operations Agent UI displayed instructions, selected ontology source, connected email action, and authored BAD/UNCERTAIN rules. No activation, monitoring, action execution, or Teams/email sends were verified. OperationsAgentV1 remains the agent configuration format, not Ontology v1; no product-wide runtime fix is claimed.</w:t>
      </w:r>
    </w:p>
    <w:p>
      <w:r>
        <w:t>The canonical application deployment reported SUCCESS at 16:06 at https://icy-twist-acc301b27a-swedencentral.webapp.fabricapps.net. Backend/SQL checks passed and all 32 existing SPA redirects were preserved. Hosting remained protected by its sign-in gate, and the separate authentication popup prevented interactive application acceptance. Earlier hosted browser evidence does not certify this new deployment.</w:t>
      </w:r>
    </w:p>
    <w:p>
      <w:r>
        <w:t>Update boundary: an earlier full PreferRemote Git import removed generated resources, later restored through setup. Do not repeat a full Git import for these corrections. Subsequent changes use bounded notebook-definition updates. These acceptance records do not authorize another reset, import, deployment, or alert send.</w:t>
      </w:r>
    </w:p>
    <w:p w14:paraId="3229744C" w14:textId="77777777" w:rsidR="00C8199A" w:rsidRDefault="002A36AD">
      <w:pPr>
        <w:pStyle w:val="Heading1"/>
      </w:pPr>
      <w:r>
        <w:lastRenderedPageBreak/>
        <w:t>Where to change things</w:t>
      </w:r>
    </w:p>
    <w:tbl>
      <w:tblPr>
        <w:tblStyle w:val="TableGrid"/>
        <w:tblW w:w="0" w:type="auto"/>
        <w:jc w:val="center"/>
        <w:tblLook w:val="04A0" w:firstRow="1" w:lastRow="0" w:firstColumn="1" w:lastColumn="0" w:noHBand="0" w:noVBand="1"/>
      </w:tblPr>
      <w:tblGrid>
        <w:gridCol w:w="5035"/>
        <w:gridCol w:w="5035"/>
      </w:tblGrid>
      <w:tr w:rsidR="00C8199A" w14:paraId="36094091" w14:textId="77777777">
        <w:trPr>
          <w:jc w:val="center"/>
        </w:trPr>
        <w:tc>
          <w:tcPr>
            <w:tcW w:w="5040" w:type="dxa"/>
            <w:shd w:val="clear" w:color="auto" w:fill="DDEBF7"/>
            <w:vAlign w:val="center"/>
          </w:tcPr>
          <w:p w14:paraId="7B5F5C6D" w14:textId="77777777" w:rsidR="00C8199A" w:rsidRDefault="002A36AD">
            <w:r>
              <w:rPr>
                <w:b/>
                <w:sz w:val="18"/>
              </w:rPr>
              <w:t>Change</w:t>
            </w:r>
          </w:p>
        </w:tc>
        <w:tc>
          <w:tcPr>
            <w:tcW w:w="5040" w:type="dxa"/>
            <w:shd w:val="clear" w:color="auto" w:fill="DDEBF7"/>
            <w:vAlign w:val="center"/>
          </w:tcPr>
          <w:p w14:paraId="1469B31E" w14:textId="77777777" w:rsidR="00C8199A" w:rsidRDefault="002A36AD">
            <w:r>
              <w:rPr>
                <w:b/>
                <w:sz w:val="18"/>
              </w:rPr>
              <w:t>Where</w:t>
            </w:r>
          </w:p>
        </w:tc>
      </w:tr>
      <w:tr w:rsidR="00C8199A" w14:paraId="1FEC6DF1" w14:textId="77777777">
        <w:trPr>
          <w:jc w:val="center"/>
        </w:trPr>
        <w:tc>
          <w:tcPr>
            <w:tcW w:w="5040" w:type="dxa"/>
            <w:vAlign w:val="center"/>
          </w:tcPr>
          <w:p w14:paraId="1BFEDD22" w14:textId="77777777" w:rsidR="00C8199A" w:rsidRDefault="002A36AD">
            <w:r>
              <w:rPr>
                <w:sz w:val="18"/>
              </w:rPr>
              <w:t>Add/remove sensors</w:t>
            </w:r>
          </w:p>
        </w:tc>
        <w:tc>
          <w:tcPr>
            <w:tcW w:w="5040" w:type="dxa"/>
            <w:vAlign w:val="center"/>
          </w:tcPr>
          <w:p w14:paraId="1B762EC1" w14:textId="77777777" w:rsidR="00C8199A" w:rsidRDefault="002A36AD">
            <w:r>
              <w:rPr>
                <w:sz w:val="18"/>
              </w:rPr>
              <w:t>Update the metadata/source files that become silver_signal_master, then rerun 003 and downstream notebooks as needed.</w:t>
            </w:r>
          </w:p>
        </w:tc>
      </w:tr>
      <w:tr w:rsidR="00C8199A" w14:paraId="67FFB172" w14:textId="77777777">
        <w:trPr>
          <w:jc w:val="center"/>
        </w:trPr>
        <w:tc>
          <w:tcPr>
            <w:tcW w:w="5040" w:type="dxa"/>
            <w:vAlign w:val="center"/>
          </w:tcPr>
          <w:p w14:paraId="4C42897F" w14:textId="77777777" w:rsidR="00C8199A" w:rsidRDefault="002A36AD">
            <w:r>
              <w:rPr>
                <w:sz w:val="18"/>
              </w:rPr>
              <w:t>Change generated values</w:t>
            </w:r>
          </w:p>
        </w:tc>
        <w:tc>
          <w:tcPr>
            <w:tcW w:w="5040" w:type="dxa"/>
            <w:vAlign w:val="center"/>
          </w:tcPr>
          <w:p w14:paraId="2FA1A9E6" w14:textId="77777777" w:rsidR="00C8199A" w:rsidRDefault="002A36AD">
            <w:r>
              <w:rPr>
                <w:sz w:val="18"/>
              </w:rPr>
              <w:t>Update the simulator logic in 007.</w:t>
            </w:r>
          </w:p>
        </w:tc>
      </w:tr>
      <w:tr w:rsidR="00C8199A" w14:paraId="5C3D0630" w14:textId="77777777">
        <w:trPr>
          <w:jc w:val="center"/>
        </w:trPr>
        <w:tc>
          <w:tcPr>
            <w:tcW w:w="5040" w:type="dxa"/>
            <w:vAlign w:val="center"/>
          </w:tcPr>
          <w:p w14:paraId="57475AE6" w14:textId="77777777" w:rsidR="00C8199A" w:rsidRDefault="002A36AD">
            <w:r>
              <w:rPr>
                <w:sz w:val="18"/>
              </w:rPr>
              <w:t>Add drift/anomalies</w:t>
            </w:r>
          </w:p>
        </w:tc>
        <w:tc>
          <w:tcPr>
            <w:tcW w:w="5040" w:type="dxa"/>
            <w:vAlign w:val="center"/>
          </w:tcPr>
          <w:p w14:paraId="67770664" w14:textId="77777777" w:rsidR="00C8199A" w:rsidRDefault="002A36AD">
            <w:r>
              <w:rPr>
                <w:sz w:val="18"/>
              </w:rPr>
              <w:t>Add the scenario logic in the 007 simulator section.</w:t>
            </w:r>
          </w:p>
        </w:tc>
      </w:tr>
      <w:tr w:rsidR="00C8199A" w14:paraId="1B1D5DEB" w14:textId="77777777">
        <w:trPr>
          <w:jc w:val="center"/>
        </w:trPr>
        <w:tc>
          <w:tcPr>
            <w:tcW w:w="5040" w:type="dxa"/>
            <w:vAlign w:val="center"/>
          </w:tcPr>
          <w:p w14:paraId="2C2353CD" w14:textId="77777777" w:rsidR="00C8199A" w:rsidRDefault="002A36AD">
            <w:r>
              <w:rPr>
                <w:sz w:val="18"/>
              </w:rPr>
              <w:t>Change telemetry schema</w:t>
            </w:r>
          </w:p>
        </w:tc>
        <w:tc>
          <w:tcPr>
            <w:tcW w:w="5040" w:type="dxa"/>
            <w:vAlign w:val="center"/>
          </w:tcPr>
          <w:p w14:paraId="6252BCAF" w14:textId="77777777" w:rsidR="00C8199A" w:rsidRDefault="002A36AD">
            <w:r>
              <w:rPr>
                <w:sz w:val="18"/>
              </w:rPr>
              <w:t>Align 002 Eventhouse schema, 004 entity TMDL, 006 timeSeries backing/bindings, and 007 payloads. Verify all readbacks.</w:t>
            </w:r>
          </w:p>
        </w:tc>
      </w:tr>
    </w:tbl>
    <w:p w14:paraId="50A8B9C4" w14:textId="77777777" w:rsidR="002A36AD" w:rsidRDefault="002A36AD"/>
    <w:sectPr w:rsidR="002A36AD" w:rsidSect="00034616">
      <w:footerReference w:type="default" r:id="rId8"/>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BFE91" w14:textId="77777777" w:rsidR="002A36AD" w:rsidRDefault="002A36AD">
      <w:pPr>
        <w:spacing w:after="0" w:line="240" w:lineRule="auto"/>
      </w:pPr>
      <w:r>
        <w:separator/>
      </w:r>
    </w:p>
  </w:endnote>
  <w:endnote w:type="continuationSeparator" w:id="0">
    <w:p w14:paraId="2D9F9AD5" w14:textId="77777777" w:rsidR="002A36AD" w:rsidRDefault="002A3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EB38" w14:textId="77777777" w:rsidR="00C8199A" w:rsidRDefault="002A36AD">
    <w:pPr>
      <w:pStyle w:val="Footer"/>
      <w:jc w:val="center"/>
    </w:pPr>
    <w:r>
      <w:rPr>
        <w:color w:val="969696"/>
        <w:sz w:val="14"/>
      </w:rPr>
      <w:t>Fabric RTI / Ontology v2 workflow overview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E9C10" w14:textId="77777777" w:rsidR="002A36AD" w:rsidRDefault="002A36AD">
      <w:pPr>
        <w:spacing w:after="0" w:line="240" w:lineRule="auto"/>
      </w:pPr>
      <w:r>
        <w:separator/>
      </w:r>
    </w:p>
  </w:footnote>
  <w:footnote w:type="continuationSeparator" w:id="0">
    <w:p w14:paraId="7849ECBB" w14:textId="77777777" w:rsidR="002A36AD" w:rsidRDefault="002A3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479278">
    <w:abstractNumId w:val="8"/>
  </w:num>
  <w:num w:numId="2" w16cid:durableId="1954481579">
    <w:abstractNumId w:val="6"/>
  </w:num>
  <w:num w:numId="3" w16cid:durableId="670837410">
    <w:abstractNumId w:val="5"/>
  </w:num>
  <w:num w:numId="4" w16cid:durableId="784931949">
    <w:abstractNumId w:val="4"/>
  </w:num>
  <w:num w:numId="5" w16cid:durableId="1185442169">
    <w:abstractNumId w:val="7"/>
  </w:num>
  <w:num w:numId="6" w16cid:durableId="552812002">
    <w:abstractNumId w:val="3"/>
  </w:num>
  <w:num w:numId="7" w16cid:durableId="27411865">
    <w:abstractNumId w:val="2"/>
  </w:num>
  <w:num w:numId="8" w16cid:durableId="61948586">
    <w:abstractNumId w:val="1"/>
  </w:num>
  <w:num w:numId="9" w16cid:durableId="1922445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4C5"/>
    <w:rsid w:val="0015074B"/>
    <w:rsid w:val="0029639D"/>
    <w:rsid w:val="002A36AD"/>
    <w:rsid w:val="00326F90"/>
    <w:rsid w:val="008E2F4E"/>
    <w:rsid w:val="00AA1D8D"/>
    <w:rsid w:val="00B47730"/>
    <w:rsid w:val="00C8199A"/>
    <w:rsid w:val="00CB0664"/>
    <w:rsid w:val="00E831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ED407"/>
  <w14:defaultImageDpi w14:val="300"/>
  <w15:docId w15:val="{57B5131D-7CD1-4926-8852-FC80C6E9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F8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16"/>
    </w:pPr>
    <w:rPr>
      <w:rFonts w:ascii="Cascadia Mono" w:eastAsia="Cascadia Mono" w:hAnsi="Cascadia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 Olav Abeland</cp:lastModifiedBy>
  <cp:revision>2</cp:revision>
  <dcterms:created xsi:type="dcterms:W3CDTF">2026-07-27T11:00:00Z</dcterms:created>
  <dcterms:modified xsi:type="dcterms:W3CDTF">2026-07-27T11:00:00Z</dcterms:modified>
  <cp:category/>
</cp:coreProperties>
</file>