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p>
      <w:r>
        <w:t>All Spark notebooks, including every Weather notebook, require Fabric Runtime 2.0 (Spark 4.1 / Python 3.13), with no older-runtime exceptions or downgrade fallback. The local deployer sets and verifies the workspace default and verifies every published Environment override before starting setup. Weather uses its published Runtime 2.0 Environment and the Python-3.13-compatible library pins tracked in the repository.</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telemetry table and Eventstream. Waits for asynchronous Eventstream creation/update operations and verifies endpoint readiness before saving settings.</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default-enabled Data Agent and Operations Agent / playbook, actions, Teams, and email-alert provisioning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ontology_operations_agent_mode defaults to enabled; auto also attempts actual provisioning and only disabled opts out. The original Operations Agent, playbook/actions, Teams configuration, and Pipe_SendEmailAlert provisioning are retained against the verified v2 ontology. Required failures propagate, not successful static skips. Configure the run-as identity and Teams destination; email delivery requires the manually created Office 365 Outlook OAuth2 mailbox connection. Strict readback records ops_agent_deployment_status=configured with the agent stopped, not runtime tested. OperationsAgentV1 names the retained business-configuration schema, not ontology generation 1. Item creation is not proof of playbook execution or alert delivery. Known issue 1970 and other external product issues are not claimed resolved by restoring this implementation.</w:t>
      </w:r>
    </w:p>
    <w:p>
      <w:r>
        <w:rPr>
          <w:b/>
        </w:rPr>
        <w:t xml:space="preserve">011 - SQL, GraphQL, and Data Agent sources. </w:t>
      </w:r>
      <w:r>
        <w:t>With the application SQL database and tables already present, this notebook seeds operational SQL data, wires the Lakehouse GraphQL endpoint, and extends the required Data Agent with SQL unless explicitly disabled. SQL/GraphQL writes can precede an agent failure; they do not turn a failed required extension into a successful job. This notebook does not deploy the app.</w:t>
      </w:r>
    </w:p>
    <w:p>
      <w:r>
        <w:t>The SQL-source addition honors the Data Agent mode. enabled and auto require prior RTI_009 deployment/publication/runtime statuses ready/published/verified and matching evidence for the agent/workspace/ontology plus exact ontology source configuration. NB11 filters the ontology subset of multi-source evidence: adding SQL alone does not invalidate the smoke evidence if that source configuration is retained. Changed ontology configuration is inconclusive and fails required execution. NB11 verifies ontology and submitted SQL source in draft and published readback; required failures propagate after independent SQL/GraphQL outcomes are persisted. Only disabled permits SQL/GraphQL-only success. NB10 remains configured/stopped. The revised NB09 failure path was validated live; NB11 and full setup were not executed during that bounded validation.</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requests only the selected ontology’s first five facility IDs/names, without putting expected values in the prompt, and compares exact records with independently read configured Lakehouse rows. Attached SQL sources are permitted and preserved; no cached proof is needed. Successful evidence uses verification=ontology_facilities_smoke_v1 and scope “Source-specific functional smoke test; execution provenance is not attested.” This is not cryptographic provenance, full agent certification, or SQL/combined-source readiness. Semantic errors (including nested JSON errors despite isError: false), wrong rows, and transport failures are failed; nonparseable, count-only, or unverifiable answers are inconclusive. Both fail required NB09/NB11/setup. Existing SQL/custom parts, operational/custom instructions, and entity selections survive even runtime-failing NB09 reruns. Failure-path validation passed; the ontology smoke itself did not pass.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