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default-enabled Data Agent and Operations Agent / playbook, actions, Teams, and email-alert provisioning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ontology_operations_agent_mode defaults to enabled; auto also attempts actual provisioning and only disabled opts out. The original Operations Agent, playbook/actions, Teams configuration, and Pipe_SendEmailAlert provisioning are retained against the verified v2 ontology. Required failures propagate, not successful static skips. Configure the run-as identity and Teams destination; email delivery requires the manually created Office 365 Outlook OAuth2 mailbox connection. Strict readback records ops_agent_deployment_status=configured with the agent stopped, not runtime tested. OperationsAgentV1 names the retained business-configuration schema, not ontology generation 1. Item creation is not proof of playbook execution or alert delivery. Known issue 1970 and other external product issues are not claimed resolved by restoring this implementation.</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deployment/publication/runtime statuses ready/published/verified and matching evidence for the agent/workspace/ontology plus exact ontology source configuration. NB11 filters the ontology subset of multi-source evidence: adding SQL alone does not invalidate the smoke evidence if that source configuration is retained. Changed ontology configuration is inconclusive and fails required execution. NB11 verifies ontology and submitted SQL source in draft and published readback; required failures propagate after independent SQL/GraphQL outcomes are persisted. Only disabled permits SQL/GraphQL-only success. NB10 remains configured/stopped. The revised NB09 failure path was validated live; NB11 and full setup were not executed during that bounded validation.</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uses the selected ontology as semantic context and permits source-native SQL on its associated Lakehouse static binding for the first five facility IDs/names. Expected values are not put in the prompt; exact records are compared with independently read configured Lakehouse rows. Fabric MCP query-result CSV attachments and generated-file footers are supported. Operational SQL, KQL and unrelated sources are excluded from this smoke; their configurations remain preserved. Evidence uses verification=ontology_context_facilities_smoke_v1 and scope “Ontology-context facilities functional smoke test; execution provenance, native ontology traversal, telemetry and operational SQL are not attested.” This does not certify native graph readiness, cryptographic provenance, the full agent, or SQL/combined-source answers. Semantic/transport errors and wrong rows fail; nonparseable, count-only, or unverifiable answers are inconclusive. Both fail required execution. SQL/custom parts, instructions and selections survive runtime-failing reruns. Historical failure evidence follows.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