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line="264" w:lineRule="auto"/>
        <w:jc w:val="center"/>
      </w:pPr>
      <w:r>
        <w:rPr>
          <w:rFonts w:ascii="Calibri" w:hAnsi="Calibri" w:eastAsia="微软雅黑"/>
          <w:b/>
          <w:i w:val="0"/>
          <w:color w:val="000000"/>
          <w:sz w:val="42"/>
        </w:rPr>
        <w:t>云桌面 Debian 兼容性与 Guest 管理</w:t>
      </w:r>
    </w:p>
    <w:p>
      <w:pPr>
        <w:spacing w:before="0" w:after="280" w:line="264" w:lineRule="auto"/>
        <w:jc w:val="center"/>
      </w:pPr>
      <w:r>
        <w:rPr>
          <w:rFonts w:ascii="Calibri" w:hAnsi="Calibri" w:eastAsia="微软雅黑"/>
          <w:b/>
          <w:i w:val="0"/>
          <w:color w:val="000000"/>
          <w:sz w:val="42"/>
        </w:rPr>
        <w:t>安全测试授权书</w:t>
      </w:r>
    </w:p>
    <w:p>
      <w:pPr>
        <w:spacing w:before="0" w:after="320" w:line="264" w:lineRule="auto"/>
        <w:jc w:val="center"/>
      </w:pPr>
      <w:r>
        <w:rPr>
          <w:rFonts w:ascii="Calibri" w:hAnsi="Calibri" w:eastAsia="微软雅黑"/>
          <w:b w:val="0"/>
          <w:i w:val="0"/>
          <w:color w:val="667085"/>
          <w:sz w:val="23"/>
        </w:rPr>
        <w:t>（含受控 Guest 身份、管理协议与遥测仿真测试）</w:t>
      </w:r>
    </w:p>
    <w:p>
      <w:pPr>
        <w:keepNext/>
        <w:spacing w:before="60" w:after="80" w:line="264" w:lineRule="auto"/>
      </w:pPr>
      <w:r>
        <w:rPr>
          <w:rFonts w:ascii="Calibri" w:hAnsi="Calibri" w:eastAsia="微软雅黑"/>
          <w:b/>
          <w:i w:val="0"/>
          <w:color w:val="1F4E78"/>
          <w:sz w:val="22"/>
        </w:rPr>
        <w:t>文件控制信息</w:t>
      </w:r>
    </w:p>
    <w:tbl>
      <w:tblPr>
        <w:tblStyle w:val="TableGrid"/>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文件编号</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[填写：项目编号/工单号/变更单号]</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版本</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V1.0（签署时填写最终版本）</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授权单位</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[填写完整法人名称及统一社会信用代码]</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被授权单位/人员</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[填写公司、部门、姓名、工号及联系方式]</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有效期</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自 [年/月/日 时:分] 至 [年/月/日 时:分]（含时区）</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保密等级</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[公开/内部/秘密/其他：________]</w:t>
            </w:r>
          </w:p>
        </w:tc>
      </w:tr>
    </w:tbl>
    <w:p>
      <w:pPr>
        <w:spacing w:after="0"/>
      </w:pPr>
    </w:p>
    <w:p>
      <w:pPr>
        <w:spacing w:before="80" w:after="160" w:line="264" w:lineRule="auto"/>
      </w:pPr>
      <w:r>
        <w:rPr>
          <w:rFonts w:ascii="Calibri" w:hAnsi="Calibri" w:eastAsia="宋体"/>
          <w:b/>
          <w:i w:val="0"/>
          <w:color w:val="9B1C1C"/>
          <w:sz w:val="21"/>
        </w:rPr>
        <w:t>重要提示：</w:t>
      </w:r>
      <w:r>
        <w:rPr>
          <w:rFonts w:ascii="Calibri" w:hAnsi="Calibri" w:eastAsia="宋体"/>
          <w:b w:val="0"/>
          <w:i w:val="0"/>
          <w:color w:val="9B1C1C"/>
          <w:sz w:val="21"/>
        </w:rPr>
        <w:t>本文件仅为授权书范本，不构成法律意见；必须由资产所有人、平台运营方、网络安全/法务及测试负责人补全所有字段并正式签署。未填写实例标识、测试窗口、后台联系人和恢复责任，或仅有个人签名时，不得据此开展身份/遥测仿真、协议重放、DD、分区或启动链修改。</w:t>
      </w:r>
    </w:p>
    <w:p>
      <w:pPr>
        <w:pStyle w:val="Heading1"/>
      </w:pPr>
      <w:r>
        <w:t>一、授权背景与目的</w:t>
      </w:r>
    </w:p>
    <w:p>
      <w:pPr>
        <w:spacing w:before="0" w:after="120" w:line="264" w:lineRule="auto"/>
      </w:pPr>
      <w:r>
        <w:rPr>
          <w:rFonts w:ascii="Calibri" w:hAnsi="Calibri" w:eastAsia="宋体"/>
          <w:b w:val="0"/>
          <w:i w:val="0"/>
          <w:color w:val="1F2937"/>
          <w:sz w:val="21"/>
        </w:rPr>
        <w:t>为验证指定云桌面平台在 Guest 操作系统由 Windows 变更为 Debian/Linux 后的硬件兼容性、生命周期管理、状态识别、客户端连接、Agent 检测、心跳及资产遥测能力，并评估现有检测机制在受控仿真条件下的准确性和抗规避能力，授权方同意在本文件明确列出的隔离测试资产和时间窗口内开展安全测试。</w:t>
      </w:r>
    </w:p>
    <w:p>
      <w:pPr>
        <w:spacing w:before="0" w:after="120" w:line="264" w:lineRule="auto"/>
      </w:pPr>
      <w:r>
        <w:rPr>
          <w:rFonts w:ascii="Calibri" w:hAnsi="Calibri" w:eastAsia="宋体"/>
          <w:b w:val="0"/>
          <w:i w:val="0"/>
          <w:color w:val="1F2937"/>
          <w:sz w:val="21"/>
        </w:rPr>
        <w:t>测试成果仅用于兼容性开发、安全评估、缺陷修复和内部验收，不得用于公众环境长期规避平台策略、计费、访问控制或安全监测。</w:t>
      </w:r>
    </w:p>
    <w:p>
      <w:pPr>
        <w:pStyle w:val="Heading1"/>
      </w:pPr>
      <w:r>
        <w:t>二、授权主体与责任人</w:t>
      </w:r>
    </w:p>
    <w:tbl>
      <w:tblPr>
        <w:tblStyle w:val="TableGrid"/>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资产所有/运营单位</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[完整法人名称]</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业务主管</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[姓名/职务/电话/企业邮箱]</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平台技术负责人</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[姓名/职务/电话/企业邮箱]</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网络安全负责人</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[姓名/职务/电话/企业邮箱]</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法务/合规负责人</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[姓名/职务/电话/企业邮箱]</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后台观察人</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[姓名/值守时间/电话/企业邮箱]</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测试负责人</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[姓名/单位/工号/电话/企业邮箱]</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应急恢复负责人</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[姓名/7×24 联系方式/恢复权限说明]</w:t>
            </w:r>
          </w:p>
        </w:tc>
      </w:tr>
    </w:tbl>
    <w:p>
      <w:pPr>
        <w:spacing w:after="0"/>
      </w:pPr>
    </w:p>
    <w:p>
      <w:pPr>
        <w:pStyle w:val="Heading1"/>
      </w:pPr>
      <w:r>
        <w:t>三、指定测试资产（必须精确到实例）</w:t>
      </w:r>
    </w:p>
    <w:tbl>
      <w:tblPr>
        <w:tblStyle w:val="TableGrid"/>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产品/SKU</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[中国移动云电脑公众版具体套餐/版本]</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账号/订单号</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[填写；必要时部分脱敏，但签署原件须可唯一定位]</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实例 UUID/VMID</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[填写完整标识]</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区域/资源池/宿主类型</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[填写]</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公网/管理 IP</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[填写授权测试地址范围]</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原始镜像</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[Windows 镜像名称、版本、镜像 ID]</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目标系统</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[Debian 版本、架构、镜像 SHA-256]</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系统盘/数据盘</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[磁盘号、容量、序列/卷标及允许改写范围]</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关联后台系统</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[仅列本次允许观察/验证的系统名称]</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禁止触及资产</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除上述实例外的全部账号、实例、Host、管理节点及其他用户数据</w:t>
            </w:r>
          </w:p>
        </w:tc>
      </w:tr>
    </w:tbl>
    <w:p>
      <w:pPr>
        <w:spacing w:after="0"/>
      </w:pPr>
    </w:p>
    <w:p>
      <w:pPr>
        <w:spacing w:before="0" w:after="120" w:line="264" w:lineRule="auto"/>
      </w:pPr>
      <w:r>
        <w:rPr>
          <w:rFonts w:ascii="Calibri" w:hAnsi="Calibri" w:eastAsia="宋体"/>
          <w:b w:val="0"/>
          <w:i/>
          <w:color w:val="9B1C1C"/>
          <w:sz w:val="21"/>
        </w:rPr>
        <w:t>若本节任一关键标识为空，涉及主动协议、身份或遥测仿真的授权自动无效。</w:t>
      </w:r>
    </w:p>
    <w:p>
      <w:pPr>
        <w:pStyle w:val="Heading1"/>
      </w:pPr>
      <w:r>
        <w:t>四、测试窗口与环境控制</w:t>
      </w:r>
    </w:p>
    <w:tbl>
      <w:tblPr>
        <w:tblStyle w:val="TableGrid"/>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授权开始</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[年/月/日 时:分，时区]</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授权结束</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[年/月/日 时:分，时区]</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维护窗口</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[填写具体窗口]</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环境性质</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 隔离测试资源池  □ 可牺牲测试实例  □ 生产同构但无生产业务  □ 其他：_____</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后台监看</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 全程在线  □ 关键阶段在线  □ 不允许主动仿真（若无后台监看）</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最大测试速率</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[消息/秒、重启次数、并发数及流量上限]</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异常告警抑制</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[是否批准、范围及负责人员；不得默认关闭]</w:t>
            </w:r>
          </w:p>
        </w:tc>
      </w:tr>
    </w:tbl>
    <w:p>
      <w:pPr>
        <w:spacing w:after="0"/>
      </w:pPr>
    </w:p>
    <w:p>
      <w:pPr>
        <w:pStyle w:val="Heading1"/>
      </w:pPr>
      <w:r>
        <w:t>五、授权操作范围（逐项勾选，未勾选即不授权）</w:t>
      </w:r>
    </w:p>
    <w:tbl>
      <w:tblPr>
        <w:tblStyle w:val="TableGrid"/>
        <w:tblW w:type="dxa" w:w="9360"/>
        <w:jc w:val="left"/>
        <w:tblLayout w:type="fixed"/>
        <w:tblLook w:firstColumn="1" w:firstRow="1" w:lastColumn="0" w:lastRow="0" w:noHBand="0" w:noVBand="1" w:val="04A0"/>
        <w:tblInd w:w="120" w:type="dxa"/>
      </w:tblPr>
      <w:tblGrid>
        <w:gridCol w:w="1080"/>
        <w:gridCol w:w="2520"/>
        <w:gridCol w:w="5760"/>
      </w:tblGrid>
      <w:tr>
        <w:trPr>
          <w:cantSplit/>
          <w:tblHeader w:val="true"/>
        </w:trPr>
        <w:tc>
          <w:tcPr>
            <w:tcW w:type="dxa" w:w="1080"/>
            <w:shd w:fill="EAF1F7"/>
            <w:tcMar>
              <w:top w:w="80" w:type="dxa"/>
              <w:start w:w="120" w:type="dxa"/>
              <w:bottom w:w="80" w:type="dxa"/>
              <w:end w:w="120" w:type="dxa"/>
            </w:tcMar>
            <w:vAlign w:val="center"/>
          </w:tcPr>
          <w:p>
            <w:pPr>
              <w:spacing w:before="0" w:after="0" w:line="264" w:lineRule="auto"/>
              <w:jc w:val="center"/>
            </w:pPr>
            <w:r>
              <w:rPr>
                <w:rFonts w:ascii="Calibri" w:hAnsi="Calibri" w:eastAsia="宋体"/>
                <w:b/>
                <w:i w:val="0"/>
                <w:color w:val="1F4E78"/>
                <w:sz w:val="21"/>
              </w:rPr>
              <w:t>授权选项</w:t>
            </w:r>
          </w:p>
        </w:tc>
        <w:tc>
          <w:tcPr>
            <w:tcW w:type="dxa" w:w="2520"/>
            <w:shd w:fill="EAF1F7"/>
            <w:tcMar>
              <w:top w:w="80" w:type="dxa"/>
              <w:start w:w="120" w:type="dxa"/>
              <w:bottom w:w="80" w:type="dxa"/>
              <w:end w:w="120" w:type="dxa"/>
            </w:tcMar>
            <w:vAlign w:val="center"/>
          </w:tcPr>
          <w:p>
            <w:pPr>
              <w:spacing w:before="0" w:after="0" w:line="264" w:lineRule="auto"/>
              <w:jc w:val="center"/>
            </w:pPr>
            <w:r>
              <w:rPr>
                <w:rFonts w:ascii="Calibri" w:hAnsi="Calibri" w:eastAsia="宋体"/>
                <w:b/>
                <w:i w:val="0"/>
                <w:color w:val="1F4E78"/>
                <w:sz w:val="21"/>
              </w:rPr>
              <w:t>测试项目</w:t>
            </w:r>
          </w:p>
        </w:tc>
        <w:tc>
          <w:tcPr>
            <w:tcW w:type="dxa" w:w="5760"/>
            <w:shd w:fill="EAF1F7"/>
            <w:tcMar>
              <w:top w:w="80" w:type="dxa"/>
              <w:start w:w="120" w:type="dxa"/>
              <w:bottom w:w="80" w:type="dxa"/>
              <w:end w:w="120" w:type="dxa"/>
            </w:tcMar>
            <w:vAlign w:val="center"/>
          </w:tcPr>
          <w:p>
            <w:pPr>
              <w:spacing w:before="0" w:after="0" w:line="264" w:lineRule="auto"/>
              <w:jc w:val="center"/>
            </w:pPr>
            <w:r>
              <w:rPr>
                <w:rFonts w:ascii="Calibri" w:hAnsi="Calibri" w:eastAsia="宋体"/>
                <w:b/>
                <w:i w:val="0"/>
                <w:color w:val="1F4E78"/>
                <w:sz w:val="21"/>
              </w:rPr>
              <w:t>授权范围/限制</w:t>
            </w:r>
          </w:p>
        </w:tc>
      </w:tr>
      <w:tr>
        <w:trPr>
          <w:cantSplit/>
        </w:trPr>
        <w:tc>
          <w:tcPr>
            <w:tcW w:type="dxa" w:w="1080"/>
            <w:tcMar>
              <w:top w:w="80" w:type="dxa"/>
              <w:start w:w="120" w:type="dxa"/>
              <w:bottom w:w="80" w:type="dxa"/>
              <w:end w:w="120" w:type="dxa"/>
            </w:tcMar>
            <w:vAlign w:val="center"/>
          </w:tcPr>
          <w:p>
            <w:pPr>
              <w:spacing w:before="0" w:after="0" w:line="264" w:lineRule="auto"/>
              <w:jc w:val="center"/>
            </w:pPr>
            <w:r>
              <w:rPr>
                <w:rFonts w:ascii="Calibri" w:hAnsi="Calibri" w:eastAsia="宋体"/>
                <w:b w:val="0"/>
                <w:i w:val="0"/>
                <w:color w:val="1F2937"/>
                <w:sz w:val="21"/>
              </w:rPr>
              <w:t>□ 允许</w:t>
            </w:r>
          </w:p>
        </w:tc>
        <w:tc>
          <w:tcPr>
            <w:tcW w:type="dxa" w:w="2520"/>
            <w:tcMar>
              <w:top w:w="80" w:type="dxa"/>
              <w:start w:w="120" w:type="dxa"/>
              <w:bottom w:w="80" w:type="dxa"/>
              <w:end w:w="120" w:type="dxa"/>
            </w:tcMar>
            <w:vAlign w:val="center"/>
          </w:tcPr>
          <w:p>
            <w:pPr>
              <w:spacing w:before="0" w:after="0" w:line="264" w:lineRule="auto"/>
              <w:jc w:val="left"/>
            </w:pPr>
            <w:r>
              <w:rPr>
                <w:rFonts w:ascii="Calibri" w:hAnsi="Calibri" w:eastAsia="宋体"/>
                <w:b/>
                <w:i w:val="0"/>
                <w:color w:val="1F2937"/>
                <w:sz w:val="21"/>
              </w:rPr>
              <w:t>只读基线调查</w:t>
            </w:r>
          </w:p>
        </w:tc>
        <w:tc>
          <w:tcPr>
            <w:tcW w:type="dxa" w:w="5760"/>
            <w:tcMar>
              <w:top w:w="80" w:type="dxa"/>
              <w:start w:w="120" w:type="dxa"/>
              <w:bottom w:w="80" w:type="dxa"/>
              <w:end w:w="120" w:type="dxa"/>
            </w:tcMar>
            <w:vAlign w:val="center"/>
          </w:tcPr>
          <w:p>
            <w:pPr>
              <w:spacing w:before="0" w:after="0" w:line="264" w:lineRule="auto"/>
              <w:jc w:val="left"/>
            </w:pPr>
            <w:r>
              <w:rPr>
                <w:rFonts w:ascii="Calibri" w:hAnsi="Calibri" w:eastAsia="宋体"/>
                <w:b w:val="0"/>
                <w:i w:val="0"/>
                <w:color w:val="1F2937"/>
                <w:sz w:val="21"/>
              </w:rPr>
              <w:t>文件、注册表、服务、驱动、进程、日志、网络连接元数据、PE/签名/哈希和 VirtIO 映射分析。</w:t>
            </w:r>
          </w:p>
        </w:tc>
      </w:tr>
      <w:tr>
        <w:trPr>
          <w:cantSplit/>
        </w:trPr>
        <w:tc>
          <w:tcPr>
            <w:tcW w:type="dxa" w:w="1080"/>
            <w:tcMar>
              <w:top w:w="80" w:type="dxa"/>
              <w:start w:w="120" w:type="dxa"/>
              <w:bottom w:w="80" w:type="dxa"/>
              <w:end w:w="120" w:type="dxa"/>
            </w:tcMar>
            <w:vAlign w:val="center"/>
          </w:tcPr>
          <w:p>
            <w:pPr>
              <w:spacing w:before="0" w:after="0" w:line="264" w:lineRule="auto"/>
              <w:jc w:val="center"/>
            </w:pPr>
            <w:r>
              <w:rPr>
                <w:rFonts w:ascii="Calibri" w:hAnsi="Calibri" w:eastAsia="宋体"/>
                <w:b w:val="0"/>
                <w:i w:val="0"/>
                <w:color w:val="1F2937"/>
                <w:sz w:val="21"/>
              </w:rPr>
              <w:t>□ 允许</w:t>
            </w:r>
          </w:p>
        </w:tc>
        <w:tc>
          <w:tcPr>
            <w:tcW w:type="dxa" w:w="2520"/>
            <w:tcMar>
              <w:top w:w="80" w:type="dxa"/>
              <w:start w:w="120" w:type="dxa"/>
              <w:bottom w:w="80" w:type="dxa"/>
              <w:end w:w="120" w:type="dxa"/>
            </w:tcMar>
            <w:vAlign w:val="center"/>
          </w:tcPr>
          <w:p>
            <w:pPr>
              <w:spacing w:before="0" w:after="0" w:line="264" w:lineRule="auto"/>
              <w:jc w:val="left"/>
            </w:pPr>
            <w:r>
              <w:rPr>
                <w:rFonts w:ascii="Calibri" w:hAnsi="Calibri" w:eastAsia="宋体"/>
                <w:b/>
                <w:i w:val="0"/>
                <w:color w:val="1F2937"/>
                <w:sz w:val="21"/>
              </w:rPr>
              <w:t>系统与磁盘变更</w:t>
            </w:r>
          </w:p>
        </w:tc>
        <w:tc>
          <w:tcPr>
            <w:tcW w:type="dxa" w:w="5760"/>
            <w:tcMar>
              <w:top w:w="80" w:type="dxa"/>
              <w:start w:w="120" w:type="dxa"/>
              <w:bottom w:w="80" w:type="dxa"/>
              <w:end w:w="120" w:type="dxa"/>
            </w:tcMar>
            <w:vAlign w:val="center"/>
          </w:tcPr>
          <w:p>
            <w:pPr>
              <w:spacing w:before="0" w:after="0" w:line="264" w:lineRule="auto"/>
              <w:jc w:val="left"/>
            </w:pPr>
            <w:r>
              <w:rPr>
                <w:rFonts w:ascii="Calibri" w:hAnsi="Calibri" w:eastAsia="宋体"/>
                <w:b w:val="0"/>
                <w:i w:val="0"/>
                <w:color w:val="1F2937"/>
                <w:sz w:val="21"/>
              </w:rPr>
              <w:t>DD、分区调整、GRUB/Legacy Boot/BCD 修改、Debian 安装、重启/关机；允许改写范围须与第三节一致。</w:t>
            </w:r>
          </w:p>
        </w:tc>
      </w:tr>
      <w:tr>
        <w:trPr>
          <w:cantSplit/>
        </w:trPr>
        <w:tc>
          <w:tcPr>
            <w:tcW w:type="dxa" w:w="1080"/>
            <w:tcMar>
              <w:top w:w="80" w:type="dxa"/>
              <w:start w:w="120" w:type="dxa"/>
              <w:bottom w:w="80" w:type="dxa"/>
              <w:end w:w="120" w:type="dxa"/>
            </w:tcMar>
            <w:vAlign w:val="center"/>
          </w:tcPr>
          <w:p>
            <w:pPr>
              <w:spacing w:before="0" w:after="0" w:line="264" w:lineRule="auto"/>
              <w:jc w:val="center"/>
            </w:pPr>
            <w:r>
              <w:rPr>
                <w:rFonts w:ascii="Calibri" w:hAnsi="Calibri" w:eastAsia="宋体"/>
                <w:b w:val="0"/>
                <w:i w:val="0"/>
                <w:color w:val="1F2937"/>
                <w:sz w:val="21"/>
              </w:rPr>
              <w:t>□ 允许</w:t>
            </w:r>
          </w:p>
        </w:tc>
        <w:tc>
          <w:tcPr>
            <w:tcW w:type="dxa" w:w="2520"/>
            <w:tcMar>
              <w:top w:w="80" w:type="dxa"/>
              <w:start w:w="120" w:type="dxa"/>
              <w:bottom w:w="80" w:type="dxa"/>
              <w:end w:w="120" w:type="dxa"/>
            </w:tcMar>
            <w:vAlign w:val="center"/>
          </w:tcPr>
          <w:p>
            <w:pPr>
              <w:spacing w:before="0" w:after="0" w:line="264" w:lineRule="auto"/>
              <w:jc w:val="left"/>
            </w:pPr>
            <w:r>
              <w:rPr>
                <w:rFonts w:ascii="Calibri" w:hAnsi="Calibri" w:eastAsia="宋体"/>
                <w:b/>
                <w:i w:val="0"/>
                <w:color w:val="1F2937"/>
                <w:sz w:val="21"/>
              </w:rPr>
              <w:t>Linux 兼容组件开发</w:t>
            </w:r>
          </w:p>
        </w:tc>
        <w:tc>
          <w:tcPr>
            <w:tcW w:type="dxa" w:w="5760"/>
            <w:tcMar>
              <w:top w:w="80" w:type="dxa"/>
              <w:start w:w="120" w:type="dxa"/>
              <w:bottom w:w="80" w:type="dxa"/>
              <w:end w:w="120" w:type="dxa"/>
            </w:tcMar>
            <w:vAlign w:val="center"/>
          </w:tcPr>
          <w:p>
            <w:pPr>
              <w:spacing w:before="0" w:after="0" w:line="264" w:lineRule="auto"/>
              <w:jc w:val="left"/>
            </w:pPr>
            <w:r>
              <w:rPr>
                <w:rFonts w:ascii="Calibri" w:hAnsi="Calibri" w:eastAsia="宋体"/>
                <w:b w:val="0"/>
                <w:i w:val="0"/>
                <w:color w:val="1F2937"/>
                <w:sz w:val="21"/>
              </w:rPr>
              <w:t>编写、安装和调试仅用于本实例的 Guest transport、QGA、状态、power/reboot 和 inventory 兼容组件。</w:t>
            </w:r>
          </w:p>
        </w:tc>
      </w:tr>
      <w:tr>
        <w:trPr>
          <w:cantSplit/>
        </w:trPr>
        <w:tc>
          <w:tcPr>
            <w:tcW w:type="dxa" w:w="1080"/>
            <w:tcMar>
              <w:top w:w="80" w:type="dxa"/>
              <w:start w:w="120" w:type="dxa"/>
              <w:bottom w:w="80" w:type="dxa"/>
              <w:end w:w="120" w:type="dxa"/>
            </w:tcMar>
            <w:vAlign w:val="center"/>
          </w:tcPr>
          <w:p>
            <w:pPr>
              <w:spacing w:before="0" w:after="0" w:line="264" w:lineRule="auto"/>
              <w:jc w:val="center"/>
            </w:pPr>
            <w:r>
              <w:rPr>
                <w:rFonts w:ascii="Calibri" w:hAnsi="Calibri" w:eastAsia="宋体"/>
                <w:b w:val="0"/>
                <w:i w:val="0"/>
                <w:color w:val="1F2937"/>
                <w:sz w:val="21"/>
              </w:rPr>
              <w:t>□ 允许</w:t>
            </w:r>
          </w:p>
        </w:tc>
        <w:tc>
          <w:tcPr>
            <w:tcW w:type="dxa" w:w="2520"/>
            <w:tcMar>
              <w:top w:w="80" w:type="dxa"/>
              <w:start w:w="120" w:type="dxa"/>
              <w:bottom w:w="80" w:type="dxa"/>
              <w:end w:w="120" w:type="dxa"/>
            </w:tcMar>
            <w:vAlign w:val="center"/>
          </w:tcPr>
          <w:p>
            <w:pPr>
              <w:spacing w:before="0" w:after="0" w:line="264" w:lineRule="auto"/>
              <w:jc w:val="left"/>
            </w:pPr>
            <w:r>
              <w:rPr>
                <w:rFonts w:ascii="Calibri" w:hAnsi="Calibri" w:eastAsia="宋体"/>
                <w:b/>
                <w:i w:val="0"/>
                <w:color w:val="1F2937"/>
                <w:sz w:val="21"/>
              </w:rPr>
              <w:t>Guest 身份仿真</w:t>
            </w:r>
          </w:p>
        </w:tc>
        <w:tc>
          <w:tcPr>
            <w:tcW w:type="dxa" w:w="5760"/>
            <w:tcMar>
              <w:top w:w="80" w:type="dxa"/>
              <w:start w:w="120" w:type="dxa"/>
              <w:bottom w:w="80" w:type="dxa"/>
              <w:end w:w="120" w:type="dxa"/>
            </w:tcMar>
            <w:vAlign w:val="center"/>
          </w:tcPr>
          <w:p>
            <w:pPr>
              <w:spacing w:before="0" w:after="0" w:line="264" w:lineRule="auto"/>
              <w:jc w:val="left"/>
            </w:pPr>
            <w:r>
              <w:rPr>
                <w:rFonts w:ascii="Calibri" w:hAnsi="Calibri" w:eastAsia="宋体"/>
                <w:b w:val="0"/>
                <w:i w:val="0"/>
                <w:color w:val="1F2937"/>
                <w:sz w:val="21"/>
              </w:rPr>
              <w:t>在测试窗口内模拟 Windows Guest/Agent 身份，用于验证后台识别与抗规避能力。必须由后台观察人同步记录。</w:t>
            </w:r>
          </w:p>
        </w:tc>
      </w:tr>
      <w:tr>
        <w:trPr>
          <w:cantSplit/>
        </w:trPr>
        <w:tc>
          <w:tcPr>
            <w:tcW w:type="dxa" w:w="1080"/>
            <w:tcMar>
              <w:top w:w="80" w:type="dxa"/>
              <w:start w:w="120" w:type="dxa"/>
              <w:bottom w:w="80" w:type="dxa"/>
              <w:end w:w="120" w:type="dxa"/>
            </w:tcMar>
            <w:vAlign w:val="center"/>
          </w:tcPr>
          <w:p>
            <w:pPr>
              <w:spacing w:before="0" w:after="0" w:line="264" w:lineRule="auto"/>
              <w:jc w:val="center"/>
            </w:pPr>
            <w:r>
              <w:rPr>
                <w:rFonts w:ascii="Calibri" w:hAnsi="Calibri" w:eastAsia="宋体"/>
                <w:b w:val="0"/>
                <w:i w:val="0"/>
                <w:color w:val="1F2937"/>
                <w:sz w:val="21"/>
              </w:rPr>
              <w:t>□ 允许</w:t>
            </w:r>
          </w:p>
        </w:tc>
        <w:tc>
          <w:tcPr>
            <w:tcW w:type="dxa" w:w="2520"/>
            <w:tcMar>
              <w:top w:w="80" w:type="dxa"/>
              <w:start w:w="120" w:type="dxa"/>
              <w:bottom w:w="80" w:type="dxa"/>
              <w:end w:w="120" w:type="dxa"/>
            </w:tcMar>
            <w:vAlign w:val="center"/>
          </w:tcPr>
          <w:p>
            <w:pPr>
              <w:spacing w:before="0" w:after="0" w:line="264" w:lineRule="auto"/>
              <w:jc w:val="left"/>
            </w:pPr>
            <w:r>
              <w:rPr>
                <w:rFonts w:ascii="Calibri" w:hAnsi="Calibri" w:eastAsia="宋体"/>
                <w:b/>
                <w:i w:val="0"/>
                <w:color w:val="1F2937"/>
                <w:sz w:val="21"/>
              </w:rPr>
              <w:t>固定 OS/资产遥测</w:t>
            </w:r>
          </w:p>
        </w:tc>
        <w:tc>
          <w:tcPr>
            <w:tcW w:type="dxa" w:w="5760"/>
            <w:tcMar>
              <w:top w:w="80" w:type="dxa"/>
              <w:start w:w="120" w:type="dxa"/>
              <w:bottom w:w="80" w:type="dxa"/>
              <w:end w:w="120" w:type="dxa"/>
            </w:tcMar>
            <w:vAlign w:val="center"/>
          </w:tcPr>
          <w:p>
            <w:pPr>
              <w:spacing w:before="0" w:after="0" w:line="264" w:lineRule="auto"/>
              <w:jc w:val="left"/>
            </w:pPr>
            <w:r>
              <w:rPr>
                <w:rFonts w:ascii="Calibri" w:hAnsi="Calibri" w:eastAsia="宋体"/>
                <w:b w:val="0"/>
                <w:i w:val="0"/>
                <w:color w:val="1F2937"/>
                <w:sz w:val="21"/>
              </w:rPr>
              <w:t>返回经审批的合成 Windows OS、软件清单、KB、主机名、版本等测试数据；测试数据集见附件。</w:t>
            </w:r>
          </w:p>
        </w:tc>
      </w:tr>
      <w:tr>
        <w:trPr>
          <w:cantSplit/>
        </w:trPr>
        <w:tc>
          <w:tcPr>
            <w:tcW w:type="dxa" w:w="1080"/>
            <w:tcMar>
              <w:top w:w="80" w:type="dxa"/>
              <w:start w:w="120" w:type="dxa"/>
              <w:bottom w:w="80" w:type="dxa"/>
              <w:end w:w="120" w:type="dxa"/>
            </w:tcMar>
            <w:vAlign w:val="center"/>
          </w:tcPr>
          <w:p>
            <w:pPr>
              <w:spacing w:before="0" w:after="0" w:line="264" w:lineRule="auto"/>
              <w:jc w:val="center"/>
            </w:pPr>
            <w:r>
              <w:rPr>
                <w:rFonts w:ascii="Calibri" w:hAnsi="Calibri" w:eastAsia="宋体"/>
                <w:b w:val="0"/>
                <w:i w:val="0"/>
                <w:color w:val="1F2937"/>
                <w:sz w:val="21"/>
              </w:rPr>
              <w:t>□ 允许</w:t>
            </w:r>
          </w:p>
        </w:tc>
        <w:tc>
          <w:tcPr>
            <w:tcW w:type="dxa" w:w="2520"/>
            <w:tcMar>
              <w:top w:w="80" w:type="dxa"/>
              <w:start w:w="120" w:type="dxa"/>
              <w:bottom w:w="80" w:type="dxa"/>
              <w:end w:w="120" w:type="dxa"/>
            </w:tcMar>
            <w:vAlign w:val="center"/>
          </w:tcPr>
          <w:p>
            <w:pPr>
              <w:spacing w:before="0" w:after="0" w:line="264" w:lineRule="auto"/>
              <w:jc w:val="left"/>
            </w:pPr>
            <w:r>
              <w:rPr>
                <w:rFonts w:ascii="Calibri" w:hAnsi="Calibri" w:eastAsia="宋体"/>
                <w:b/>
                <w:i w:val="0"/>
                <w:color w:val="1F2937"/>
                <w:sz w:val="21"/>
              </w:rPr>
              <w:t>Heartbeat/状态仿真</w:t>
            </w:r>
          </w:p>
        </w:tc>
        <w:tc>
          <w:tcPr>
            <w:tcW w:type="dxa" w:w="5760"/>
            <w:tcMar>
              <w:top w:w="80" w:type="dxa"/>
              <w:start w:w="120" w:type="dxa"/>
              <w:bottom w:w="80" w:type="dxa"/>
              <w:end w:w="120" w:type="dxa"/>
            </w:tcMar>
            <w:vAlign w:val="center"/>
          </w:tcPr>
          <w:p>
            <w:pPr>
              <w:spacing w:before="0" w:after="0" w:line="264" w:lineRule="auto"/>
              <w:jc w:val="left"/>
            </w:pPr>
            <w:r>
              <w:rPr>
                <w:rFonts w:ascii="Calibri" w:hAnsi="Calibri" w:eastAsia="宋体"/>
                <w:b w:val="0"/>
                <w:i w:val="0"/>
                <w:color w:val="1F2937"/>
                <w:sz w:val="21"/>
              </w:rPr>
              <w:t>构造或复现实例范围内的 Agent 在线、健康、心跳和状态上报，仅可使用批准频率与测试身份。</w:t>
            </w:r>
          </w:p>
        </w:tc>
      </w:tr>
      <w:tr>
        <w:trPr>
          <w:cantSplit/>
        </w:trPr>
        <w:tc>
          <w:tcPr>
            <w:tcW w:type="dxa" w:w="1080"/>
            <w:tcMar>
              <w:top w:w="80" w:type="dxa"/>
              <w:start w:w="120" w:type="dxa"/>
              <w:bottom w:w="80" w:type="dxa"/>
              <w:end w:w="120" w:type="dxa"/>
            </w:tcMar>
            <w:vAlign w:val="center"/>
          </w:tcPr>
          <w:p>
            <w:pPr>
              <w:spacing w:before="0" w:after="0" w:line="264" w:lineRule="auto"/>
              <w:jc w:val="center"/>
            </w:pPr>
            <w:r>
              <w:rPr>
                <w:rFonts w:ascii="Calibri" w:hAnsi="Calibri" w:eastAsia="宋体"/>
                <w:b w:val="0"/>
                <w:i w:val="0"/>
                <w:color w:val="1F2937"/>
                <w:sz w:val="21"/>
              </w:rPr>
              <w:t>□ 允许</w:t>
            </w:r>
          </w:p>
        </w:tc>
        <w:tc>
          <w:tcPr>
            <w:tcW w:type="dxa" w:w="2520"/>
            <w:tcMar>
              <w:top w:w="80" w:type="dxa"/>
              <w:start w:w="120" w:type="dxa"/>
              <w:bottom w:w="80" w:type="dxa"/>
              <w:end w:w="120" w:type="dxa"/>
            </w:tcMar>
            <w:vAlign w:val="center"/>
          </w:tcPr>
          <w:p>
            <w:pPr>
              <w:spacing w:before="0" w:after="0" w:line="264" w:lineRule="auto"/>
              <w:jc w:val="left"/>
            </w:pPr>
            <w:r>
              <w:rPr>
                <w:rFonts w:ascii="Calibri" w:hAnsi="Calibri" w:eastAsia="宋体"/>
                <w:b/>
                <w:i w:val="0"/>
                <w:color w:val="1F2937"/>
                <w:sz w:val="21"/>
              </w:rPr>
              <w:t>私有协议主动测试</w:t>
            </w:r>
          </w:p>
        </w:tc>
        <w:tc>
          <w:tcPr>
            <w:tcW w:type="dxa" w:w="5760"/>
            <w:tcMar>
              <w:top w:w="80" w:type="dxa"/>
              <w:start w:w="120" w:type="dxa"/>
              <w:bottom w:w="80" w:type="dxa"/>
              <w:end w:w="120" w:type="dxa"/>
            </w:tcMar>
            <w:vAlign w:val="center"/>
          </w:tcPr>
          <w:p>
            <w:pPr>
              <w:spacing w:before="0" w:after="0" w:line="264" w:lineRule="auto"/>
              <w:jc w:val="left"/>
            </w:pPr>
            <w:r>
              <w:rPr>
                <w:rFonts w:ascii="Calibri" w:hAnsi="Calibri" w:eastAsia="宋体"/>
                <w:b w:val="0"/>
                <w:i w:val="0"/>
                <w:color w:val="1F2937"/>
                <w:sz w:val="21"/>
              </w:rPr>
              <w:t>对指定 VirtIO Serial/localhost 管理通道进行消息构造、回放、模糊测试或兼容实现；允许消息类型和速率见附件。</w:t>
            </w:r>
          </w:p>
        </w:tc>
      </w:tr>
      <w:tr>
        <w:trPr>
          <w:cantSplit/>
        </w:trPr>
        <w:tc>
          <w:tcPr>
            <w:tcW w:type="dxa" w:w="1080"/>
            <w:tcMar>
              <w:top w:w="80" w:type="dxa"/>
              <w:start w:w="120" w:type="dxa"/>
              <w:bottom w:w="80" w:type="dxa"/>
              <w:end w:w="120" w:type="dxa"/>
            </w:tcMar>
            <w:vAlign w:val="center"/>
          </w:tcPr>
          <w:p>
            <w:pPr>
              <w:spacing w:before="0" w:after="0" w:line="264" w:lineRule="auto"/>
              <w:jc w:val="center"/>
            </w:pPr>
            <w:r>
              <w:rPr>
                <w:rFonts w:ascii="Calibri" w:hAnsi="Calibri" w:eastAsia="宋体"/>
                <w:b w:val="0"/>
                <w:i w:val="0"/>
                <w:color w:val="1F2937"/>
                <w:sz w:val="21"/>
              </w:rPr>
              <w:t>□ 允许</w:t>
            </w:r>
          </w:p>
        </w:tc>
        <w:tc>
          <w:tcPr>
            <w:tcW w:type="dxa" w:w="2520"/>
            <w:tcMar>
              <w:top w:w="80" w:type="dxa"/>
              <w:start w:w="120" w:type="dxa"/>
              <w:bottom w:w="80" w:type="dxa"/>
              <w:end w:w="120" w:type="dxa"/>
            </w:tcMar>
            <w:vAlign w:val="center"/>
          </w:tcPr>
          <w:p>
            <w:pPr>
              <w:spacing w:before="0" w:after="0" w:line="264" w:lineRule="auto"/>
              <w:jc w:val="left"/>
            </w:pPr>
            <w:r>
              <w:rPr>
                <w:rFonts w:ascii="Calibri" w:hAnsi="Calibri" w:eastAsia="宋体"/>
                <w:b/>
                <w:i w:val="0"/>
                <w:color w:val="1F2937"/>
                <w:sz w:val="21"/>
              </w:rPr>
              <w:t>实例身份材料使用</w:t>
            </w:r>
          </w:p>
        </w:tc>
        <w:tc>
          <w:tcPr>
            <w:tcW w:type="dxa" w:w="5760"/>
            <w:tcMar>
              <w:top w:w="80" w:type="dxa"/>
              <w:start w:w="120" w:type="dxa"/>
              <w:bottom w:w="80" w:type="dxa"/>
              <w:end w:w="120" w:type="dxa"/>
            </w:tcMar>
            <w:vAlign w:val="center"/>
          </w:tcPr>
          <w:p>
            <w:pPr>
              <w:spacing w:before="0" w:after="0" w:line="264" w:lineRule="auto"/>
              <w:jc w:val="left"/>
            </w:pPr>
            <w:r>
              <w:rPr>
                <w:rFonts w:ascii="Calibri" w:hAnsi="Calibri" w:eastAsia="宋体"/>
                <w:b w:val="0"/>
                <w:i w:val="0"/>
                <w:color w:val="1F2937"/>
                <w:sz w:val="21"/>
              </w:rPr>
              <w:t>仅在原实例内临时使用该实例已经分配的密钥/证书/UUID；禁止导出到其他实例或伪造其他资产。</w:t>
            </w:r>
          </w:p>
        </w:tc>
      </w:tr>
      <w:tr>
        <w:trPr>
          <w:cantSplit/>
        </w:trPr>
        <w:tc>
          <w:tcPr>
            <w:tcW w:type="dxa" w:w="1080"/>
            <w:tcMar>
              <w:top w:w="80" w:type="dxa"/>
              <w:start w:w="120" w:type="dxa"/>
              <w:bottom w:w="80" w:type="dxa"/>
              <w:end w:w="120" w:type="dxa"/>
            </w:tcMar>
            <w:vAlign w:val="center"/>
          </w:tcPr>
          <w:p>
            <w:pPr>
              <w:spacing w:before="0" w:after="0" w:line="264" w:lineRule="auto"/>
              <w:jc w:val="center"/>
            </w:pPr>
            <w:r>
              <w:rPr>
                <w:rFonts w:ascii="Calibri" w:hAnsi="Calibri" w:eastAsia="宋体"/>
                <w:b w:val="0"/>
                <w:i w:val="0"/>
                <w:color w:val="1F2937"/>
                <w:sz w:val="21"/>
              </w:rPr>
              <w:t>□ 允许</w:t>
            </w:r>
          </w:p>
        </w:tc>
        <w:tc>
          <w:tcPr>
            <w:tcW w:type="dxa" w:w="2520"/>
            <w:tcMar>
              <w:top w:w="80" w:type="dxa"/>
              <w:start w:w="120" w:type="dxa"/>
              <w:bottom w:w="80" w:type="dxa"/>
              <w:end w:w="120" w:type="dxa"/>
            </w:tcMar>
            <w:vAlign w:val="center"/>
          </w:tcPr>
          <w:p>
            <w:pPr>
              <w:spacing w:before="0" w:after="0" w:line="264" w:lineRule="auto"/>
              <w:jc w:val="left"/>
            </w:pPr>
            <w:r>
              <w:rPr>
                <w:rFonts w:ascii="Calibri" w:hAnsi="Calibri" w:eastAsia="宋体"/>
                <w:b/>
                <w:i w:val="0"/>
                <w:color w:val="1F2937"/>
                <w:sz w:val="21"/>
              </w:rPr>
              <w:t>官方客户端验证</w:t>
            </w:r>
          </w:p>
        </w:tc>
        <w:tc>
          <w:tcPr>
            <w:tcW w:type="dxa" w:w="5760"/>
            <w:tcMar>
              <w:top w:w="80" w:type="dxa"/>
              <w:start w:w="120" w:type="dxa"/>
              <w:bottom w:w="80" w:type="dxa"/>
              <w:end w:w="120" w:type="dxa"/>
            </w:tcMar>
            <w:vAlign w:val="center"/>
          </w:tcPr>
          <w:p>
            <w:pPr>
              <w:spacing w:before="0" w:after="0" w:line="264" w:lineRule="auto"/>
              <w:jc w:val="left"/>
            </w:pPr>
            <w:r>
              <w:rPr>
                <w:rFonts w:ascii="Calibri" w:hAnsi="Calibri" w:eastAsia="宋体"/>
                <w:b w:val="0"/>
                <w:i w:val="0"/>
                <w:color w:val="1F2937"/>
                <w:sz w:val="21"/>
              </w:rPr>
              <w:t>验证 ICE/RAP/Vdagent、显示、输入、音频、USB/文件/打印重定向及会话恢复。</w:t>
            </w:r>
          </w:p>
        </w:tc>
      </w:tr>
      <w:tr>
        <w:trPr>
          <w:cantSplit/>
        </w:trPr>
        <w:tc>
          <w:tcPr>
            <w:tcW w:type="dxa" w:w="1080"/>
            <w:tcMar>
              <w:top w:w="80" w:type="dxa"/>
              <w:start w:w="120" w:type="dxa"/>
              <w:bottom w:w="80" w:type="dxa"/>
              <w:end w:w="120" w:type="dxa"/>
            </w:tcMar>
            <w:vAlign w:val="center"/>
          </w:tcPr>
          <w:p>
            <w:pPr>
              <w:spacing w:before="0" w:after="0" w:line="264" w:lineRule="auto"/>
              <w:jc w:val="center"/>
            </w:pPr>
            <w:r>
              <w:rPr>
                <w:rFonts w:ascii="Calibri" w:hAnsi="Calibri" w:eastAsia="宋体"/>
                <w:b w:val="0"/>
                <w:i w:val="0"/>
                <w:color w:val="1F2937"/>
                <w:sz w:val="21"/>
              </w:rPr>
              <w:t>□ 允许</w:t>
            </w:r>
          </w:p>
        </w:tc>
        <w:tc>
          <w:tcPr>
            <w:tcW w:type="dxa" w:w="2520"/>
            <w:tcMar>
              <w:top w:w="80" w:type="dxa"/>
              <w:start w:w="120" w:type="dxa"/>
              <w:bottom w:w="80" w:type="dxa"/>
              <w:end w:w="120" w:type="dxa"/>
            </w:tcMar>
            <w:vAlign w:val="center"/>
          </w:tcPr>
          <w:p>
            <w:pPr>
              <w:spacing w:before="0" w:after="0" w:line="264" w:lineRule="auto"/>
              <w:jc w:val="left"/>
            </w:pPr>
            <w:r>
              <w:rPr>
                <w:rFonts w:ascii="Calibri" w:hAnsi="Calibri" w:eastAsia="宋体"/>
                <w:b/>
                <w:i w:val="0"/>
                <w:color w:val="1F2937"/>
                <w:sz w:val="21"/>
              </w:rPr>
              <w:t>恢复与回退</w:t>
            </w:r>
          </w:p>
        </w:tc>
        <w:tc>
          <w:tcPr>
            <w:tcW w:type="dxa" w:w="5760"/>
            <w:tcMar>
              <w:top w:w="80" w:type="dxa"/>
              <w:start w:w="120" w:type="dxa"/>
              <w:bottom w:w="80" w:type="dxa"/>
              <w:end w:w="120" w:type="dxa"/>
            </w:tcMar>
            <w:vAlign w:val="center"/>
          </w:tcPr>
          <w:p>
            <w:pPr>
              <w:spacing w:before="0" w:after="0" w:line="264" w:lineRule="auto"/>
              <w:jc w:val="left"/>
            </w:pPr>
            <w:r>
              <w:rPr>
                <w:rFonts w:ascii="Calibri" w:hAnsi="Calibri" w:eastAsia="宋体"/>
                <w:b w:val="0"/>
                <w:i w:val="0"/>
                <w:color w:val="1F2937"/>
                <w:sz w:val="21"/>
              </w:rPr>
              <w:t>恢复官方 Windows 镜像、系统盘快照、Agent 组件和平台状态；由应急恢复负责人执行或监护。</w:t>
            </w:r>
          </w:p>
        </w:tc>
      </w:tr>
    </w:tbl>
    <w:p>
      <w:pPr>
        <w:pStyle w:val="Heading1"/>
      </w:pPr>
      <w:r>
        <w:t>六、受控身份与遥测仿真专项授权</w:t>
      </w:r>
    </w:p>
    <w:p>
      <w:pPr>
        <w:spacing w:before="0" w:after="120" w:line="264" w:lineRule="auto"/>
      </w:pPr>
      <w:r>
        <w:rPr>
          <w:rFonts w:ascii="Calibri" w:hAnsi="Calibri" w:eastAsia="宋体"/>
          <w:b w:val="0"/>
          <w:i w:val="0"/>
          <w:color w:val="1F2937"/>
          <w:sz w:val="21"/>
        </w:rPr>
        <w:t>仅当第五条对应项目已勾选且本条全部填写时，测试人员方可开展相关测试。</w:t>
      </w:r>
    </w:p>
    <w:tbl>
      <w:tblPr>
        <w:tblStyle w:val="TableGrid"/>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仿真目的</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[例：验证后台能否识别 OS 替换、静态 inventory 和 Agent 行为异常]</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允许仿真的身份</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[仅本实例 Windows Guest/指定 Agent 名称与版本]</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批准的合成数据集</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[附件编号、字段列表、固定值/变化规则及数据负责人]</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允许消息类别</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[心跳/状态/OS inventory/软件 inventory/power response/其他]</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禁止消息类别</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[身份注册、计费、授权、跨租户、文件下发、远程命令等]</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允许的重放范围</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[无/仅本实例同一窗口内/指定消息及次数]</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凭据处理</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[可用材料、存储位置、访问人、销毁时间；禁止跨实例复制]</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后台预期结果</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[应识别/应告警/允许短暂误判/其他验收标准]</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强制销毁时间</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授权结束后 [__] 小时内删除仿真组件、合成数据和临时凭据</w:t>
            </w:r>
          </w:p>
        </w:tc>
      </w:tr>
    </w:tbl>
    <w:p>
      <w:pPr>
        <w:spacing w:after="0"/>
      </w:pPr>
    </w:p>
    <w:p>
      <w:pPr>
        <w:pStyle w:val="Heading1"/>
      </w:pPr>
      <w:r>
        <w:t>七、明确禁止事项</w:t>
      </w:r>
    </w:p>
    <w:p>
      <w:pPr>
        <w:spacing w:before="0" w:after="80" w:line="264" w:lineRule="auto"/>
      </w:pPr>
      <w:r>
        <w:rPr>
          <w:rFonts w:ascii="Calibri" w:hAnsi="Calibri" w:eastAsia="宋体"/>
          <w:b w:val="0"/>
          <w:i w:val="0"/>
          <w:color w:val="1F2937"/>
          <w:sz w:val="21"/>
        </w:rPr>
        <w:t>7.1 不得访问、识别、复制或影响其他用户、租户、实例、Host、管理节点或生产业务数据。</w:t>
      </w:r>
    </w:p>
    <w:p>
      <w:pPr>
        <w:spacing w:before="0" w:after="80" w:line="264" w:lineRule="auto"/>
      </w:pPr>
      <w:r>
        <w:rPr>
          <w:rFonts w:ascii="Calibri" w:hAnsi="Calibri" w:eastAsia="宋体"/>
          <w:b w:val="0"/>
          <w:i w:val="0"/>
          <w:color w:val="1F2937"/>
          <w:sz w:val="21"/>
        </w:rPr>
        <w:t>7.2 不得扩大扫描或消息发送范围，不得绕过账号、计费、许可、访问控制或租户隔离。</w:t>
      </w:r>
    </w:p>
    <w:p>
      <w:pPr>
        <w:spacing w:before="0" w:after="80" w:line="264" w:lineRule="auto"/>
      </w:pPr>
      <w:r>
        <w:rPr>
          <w:rFonts w:ascii="Calibri" w:hAnsi="Calibri" w:eastAsia="宋体"/>
          <w:b w:val="0"/>
          <w:i w:val="0"/>
          <w:color w:val="1F2937"/>
          <w:sz w:val="21"/>
        </w:rPr>
        <w:t>7.3 不得实施拒绝服务、资源耗尽、跨实例凭据复用、持久化后门或未经批准的远程命令执行。</w:t>
      </w:r>
    </w:p>
    <w:p>
      <w:pPr>
        <w:spacing w:before="0" w:after="80" w:line="264" w:lineRule="auto"/>
      </w:pPr>
      <w:r>
        <w:rPr>
          <w:rFonts w:ascii="Calibri" w:hAnsi="Calibri" w:eastAsia="宋体"/>
          <w:b w:val="0"/>
          <w:i w:val="0"/>
          <w:color w:val="1F2937"/>
          <w:sz w:val="21"/>
        </w:rPr>
        <w:t>7.4 不得在授权窗口之外继续运行身份/遥测仿真组件，不得将仿真组件用于长期规避平台管理。</w:t>
      </w:r>
    </w:p>
    <w:p>
      <w:pPr>
        <w:spacing w:before="0" w:after="80" w:line="264" w:lineRule="auto"/>
      </w:pPr>
      <w:r>
        <w:rPr>
          <w:rFonts w:ascii="Calibri" w:hAnsi="Calibri" w:eastAsia="宋体"/>
          <w:b w:val="0"/>
          <w:i w:val="0"/>
          <w:color w:val="1F2937"/>
          <w:sz w:val="21"/>
        </w:rPr>
        <w:t>7.5 不得向第三方公开可复现的敏感协议细节、密钥、实例身份或未修复漏洞；披露流程见第十一条。</w:t>
      </w:r>
    </w:p>
    <w:p>
      <w:pPr>
        <w:spacing w:before="0" w:after="80" w:line="264" w:lineRule="auto"/>
      </w:pPr>
      <w:r>
        <w:rPr>
          <w:rFonts w:ascii="Calibri" w:hAnsi="Calibri" w:eastAsia="宋体"/>
          <w:b w:val="0"/>
          <w:i w:val="0"/>
          <w:color w:val="1F2937"/>
          <w:sz w:val="21"/>
        </w:rPr>
        <w:t>7.6 未经应急恢复负责人确认，不得在缺少可用快照、官方重装或人工恢复保障时改写唯一系统盘。</w:t>
      </w:r>
    </w:p>
    <w:p>
      <w:pPr>
        <w:pStyle w:val="Heading1"/>
      </w:pPr>
      <w:r>
        <w:t>八、停止条件与应急响应</w:t>
      </w:r>
    </w:p>
    <w:tbl>
      <w:tblPr>
        <w:tblStyle w:val="TableGrid"/>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立即停止条件</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出现跨实例影响、异常流量、后台不可控告警、实例锁定、数据泄露、Host 异常、恢复路径失效或负责人要求停止。</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停止动作</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停止主动消息；保存必要证据；通知后台观察人与安全负责人；不得擅自扩大测试或尝试绕过锁定。</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恢复顺序</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[平台解除测试状态] → [恢复系统盘/镜像] → [恢复官方 Agent] → [验证管理与客户端] → [关闭工单]。</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恢复时限/SLA</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授权方承诺在触发停止条件后 [__] 分钟内响应、[__] 小时内完成恢复或提供替代实例。</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不可恢复责任</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因严格按已批准方案执行导致的实例重装、锁定或数据损失，由 [授权单位/部门] 承担恢复与业务协调责任。</w:t>
            </w:r>
          </w:p>
        </w:tc>
      </w:tr>
    </w:tbl>
    <w:p>
      <w:pPr>
        <w:spacing w:after="0"/>
      </w:pPr>
    </w:p>
    <w:p>
      <w:pPr>
        <w:pStyle w:val="Heading1"/>
      </w:pPr>
      <w:r>
        <w:t>九、测试计划、成功标准与变更控制</w:t>
      </w:r>
    </w:p>
    <w:p>
      <w:pPr>
        <w:spacing w:before="0" w:after="120" w:line="264" w:lineRule="auto"/>
      </w:pPr>
      <w:r>
        <w:rPr>
          <w:rFonts w:ascii="Calibri" w:hAnsi="Calibri" w:eastAsia="宋体"/>
          <w:b w:val="0"/>
          <w:i w:val="0"/>
          <w:color w:val="1F2937"/>
          <w:sz w:val="21"/>
        </w:rPr>
        <w:t>9.1 测试必须按附件《测试计划》分阶段执行：基线采集、离线镜像准备、可回滚启动、Debian 硬件验证、Guest 管理验证、受控仿真、稳定性、恢复。</w:t>
      </w:r>
    </w:p>
    <w:p>
      <w:pPr>
        <w:spacing w:before="0" w:after="120" w:line="264" w:lineRule="auto"/>
      </w:pPr>
      <w:r>
        <w:rPr>
          <w:rFonts w:ascii="Calibri" w:hAnsi="Calibri" w:eastAsia="宋体"/>
          <w:b w:val="0"/>
          <w:i w:val="0"/>
          <w:color w:val="1F2937"/>
          <w:sz w:val="21"/>
        </w:rPr>
        <w:t>9.2 每阶段须定义输入、操作、期望结果、后台观察项、停止条件和回滚动作；前一阶段未通过不得自动进入下一阶段。</w:t>
      </w:r>
    </w:p>
    <w:p>
      <w:pPr>
        <w:spacing w:before="0" w:after="120" w:line="264" w:lineRule="auto"/>
      </w:pPr>
      <w:r>
        <w:rPr>
          <w:rFonts w:ascii="Calibri" w:hAnsi="Calibri" w:eastAsia="宋体"/>
          <w:b w:val="0"/>
          <w:i w:val="0"/>
          <w:color w:val="1F2937"/>
          <w:sz w:val="21"/>
        </w:rPr>
        <w:t>9.3 成功标准至少包括：Debian 正常启动；VirtIO 磁盘/网卡/串口正常；SSH 正常；平台 power state 正确；授权范围内的 Guest 状态测试达到预期；完成恢复并清除临时组件。</w:t>
      </w:r>
    </w:p>
    <w:p>
      <w:pPr>
        <w:spacing w:before="0" w:after="120" w:line="264" w:lineRule="auto"/>
      </w:pPr>
      <w:r>
        <w:rPr>
          <w:rFonts w:ascii="Calibri" w:hAnsi="Calibri" w:eastAsia="宋体"/>
          <w:b w:val="0"/>
          <w:i w:val="0"/>
          <w:color w:val="1F2937"/>
          <w:sz w:val="21"/>
        </w:rPr>
        <w:t>9.4 超出本授权书或附件的消息类型、凭据使用、实例、时间窗口或破坏性操作，必须重新提交书面变更并由原审批角色再次签署。</w:t>
      </w:r>
    </w:p>
    <w:p>
      <w:pPr>
        <w:pStyle w:val="Heading1"/>
      </w:pPr>
      <w:r>
        <w:t>十、证据、数据与保密</w:t>
      </w:r>
    </w:p>
    <w:tbl>
      <w:tblPr>
        <w:tblStyle w:val="TableGrid"/>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允许采集</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本实例测试日志、时间线、进程/服务/驱动状态、网络连接元数据、消息类别与长度、后台状态截图、镜像/组件哈希。</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默认脱敏</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账号、手机号、UUID、VMID、IP、密钥、token、证书私钥、其他用户信息及业务数据。</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证据存储</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[批准位置、访问控制、加密方式]</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保留期限</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测试结束后 [__] 天；到期由 [负责人] 审核销毁。</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报告接收人</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[开发/安全/平台/法务名单]</w:t>
            </w:r>
          </w:p>
        </w:tc>
      </w:tr>
    </w:tbl>
    <w:p>
      <w:pPr>
        <w:spacing w:after="0"/>
      </w:pPr>
    </w:p>
    <w:p>
      <w:pPr>
        <w:pStyle w:val="Heading1"/>
      </w:pPr>
      <w:r>
        <w:t>十一、缺陷报告与披露</w:t>
      </w:r>
    </w:p>
    <w:p>
      <w:pPr>
        <w:spacing w:before="0" w:after="120" w:line="264" w:lineRule="auto"/>
      </w:pPr>
      <w:r>
        <w:rPr>
          <w:rFonts w:ascii="Calibri" w:hAnsi="Calibri" w:eastAsia="宋体"/>
          <w:b w:val="0"/>
          <w:i w:val="0"/>
          <w:color w:val="1F2937"/>
          <w:sz w:val="21"/>
        </w:rPr>
        <w:t>发现平台识别、Agent 检测、身份校验、心跳、inventory 或租户隔离缺陷时，应在 [__] 小时内通过 [工单/邮箱/漏洞平台] 报告。未经书面同意，不得公开漏洞细节、可运行仿真组件或复现步骤。授权方应在 [__] 个工作日内确认接收并给出修复/缓解计划。</w:t>
      </w:r>
    </w:p>
    <w:p>
      <w:pPr>
        <w:pStyle w:val="Heading1"/>
      </w:pPr>
      <w:r>
        <w:t>十二、授权效力与解释</w:t>
      </w:r>
    </w:p>
    <w:p>
      <w:pPr>
        <w:spacing w:before="0" w:after="120" w:line="264" w:lineRule="auto"/>
      </w:pPr>
      <w:r>
        <w:rPr>
          <w:rFonts w:ascii="Calibri" w:hAnsi="Calibri" w:eastAsia="宋体"/>
          <w:b w:val="0"/>
          <w:i w:val="0"/>
          <w:color w:val="1F2937"/>
          <w:sz w:val="21"/>
        </w:rPr>
        <w:t>12.1 本授权仅对第三节指定资产、第四节时间窗口和第五/六条勾选项目有效。</w:t>
      </w:r>
    </w:p>
    <w:p>
      <w:pPr>
        <w:spacing w:before="0" w:after="120" w:line="264" w:lineRule="auto"/>
      </w:pPr>
      <w:r>
        <w:rPr>
          <w:rFonts w:ascii="Calibri" w:hAnsi="Calibri" w:eastAsia="宋体"/>
          <w:b w:val="0"/>
          <w:i w:val="0"/>
          <w:color w:val="1F2937"/>
          <w:sz w:val="21"/>
        </w:rPr>
        <w:t>12.2 本授权不当然豁免适用法律、监管要求、用户协议、数据保护义务和授权单位内部制度；冲突时以更严格要求为准。</w:t>
      </w:r>
    </w:p>
    <w:p>
      <w:pPr>
        <w:spacing w:before="0" w:after="120" w:line="264" w:lineRule="auto"/>
      </w:pPr>
      <w:r>
        <w:rPr>
          <w:rFonts w:ascii="Calibri" w:hAnsi="Calibri" w:eastAsia="宋体"/>
          <w:b w:val="0"/>
          <w:i w:val="0"/>
          <w:color w:val="1F2937"/>
          <w:sz w:val="21"/>
        </w:rPr>
        <w:t>12.3 电子签名、盖章扫描件或经授权单位认可的工单审批记录可作为附件，与本授权书共同构成完整授权证据。</w:t>
      </w:r>
    </w:p>
    <w:p>
      <w:pPr>
        <w:spacing w:before="0" w:after="120" w:line="264" w:lineRule="auto"/>
      </w:pPr>
      <w:r>
        <w:rPr>
          <w:rFonts w:ascii="Calibri" w:hAnsi="Calibri" w:eastAsia="宋体"/>
          <w:b w:val="0"/>
          <w:i w:val="0"/>
          <w:color w:val="9B1C1C"/>
          <w:sz w:val="21"/>
        </w:rPr>
        <w:t>12.4 未经全部必需审批人签署，本文件仅为草案，不产生主动安全测试授权效力。</w:t>
      </w:r>
    </w:p>
    <w:p>
      <w:pPr>
        <w:pStyle w:val="Heading1"/>
      </w:pPr>
      <w:r>
        <w:t>十三、审批与签署</w:t>
      </w:r>
    </w:p>
    <w:tbl>
      <w:tblPr>
        <w:tblStyle w:val="TableGrid"/>
        <w:tblW w:type="dxa" w:w="9360"/>
        <w:jc w:val="left"/>
        <w:tblLayout w:type="fixed"/>
        <w:tblLook w:firstColumn="1" w:firstRow="1" w:lastColumn="0" w:lastRow="0" w:noHBand="0" w:noVBand="1" w:val="04A0"/>
        <w:tblInd w:w="120" w:type="dxa"/>
      </w:tblPr>
      <w:tblGrid>
        <w:gridCol w:w="2400"/>
        <w:gridCol w:w="3360"/>
        <w:gridCol w:w="3600"/>
      </w:tblGrid>
      <w:tr>
        <w:trPr>
          <w:cantSplit/>
          <w:tblHeader w:val="true"/>
        </w:trPr>
        <w:tc>
          <w:tcPr>
            <w:tcW w:type="dxa" w:w="2400"/>
            <w:shd w:fill="EAF1F7"/>
            <w:tcMar>
              <w:top w:w="80" w:type="dxa"/>
              <w:start w:w="120" w:type="dxa"/>
              <w:bottom w:w="80" w:type="dxa"/>
              <w:end w:w="120" w:type="dxa"/>
            </w:tcMar>
            <w:vAlign w:val="center"/>
          </w:tcPr>
          <w:p>
            <w:pPr>
              <w:spacing w:before="0" w:after="0" w:line="264" w:lineRule="auto"/>
              <w:jc w:val="center"/>
            </w:pPr>
            <w:r>
              <w:rPr>
                <w:rFonts w:ascii="Calibri" w:hAnsi="Calibri" w:eastAsia="宋体"/>
                <w:b/>
                <w:i w:val="0"/>
                <w:color w:val="1F4E78"/>
                <w:sz w:val="21"/>
              </w:rPr>
              <w:t>审批角色</w:t>
            </w:r>
          </w:p>
        </w:tc>
        <w:tc>
          <w:tcPr>
            <w:tcW w:type="dxa" w:w="3360"/>
            <w:shd w:fill="EAF1F7"/>
            <w:tcMar>
              <w:top w:w="80" w:type="dxa"/>
              <w:start w:w="120" w:type="dxa"/>
              <w:bottom w:w="80" w:type="dxa"/>
              <w:end w:w="120" w:type="dxa"/>
            </w:tcMar>
            <w:vAlign w:val="center"/>
          </w:tcPr>
          <w:p>
            <w:pPr>
              <w:spacing w:before="0" w:after="0" w:line="264" w:lineRule="auto"/>
              <w:jc w:val="center"/>
            </w:pPr>
            <w:r>
              <w:rPr>
                <w:rFonts w:ascii="Calibri" w:hAnsi="Calibri" w:eastAsia="宋体"/>
                <w:b/>
                <w:i w:val="0"/>
                <w:color w:val="1F4E78"/>
                <w:sz w:val="21"/>
              </w:rPr>
              <w:t>签署信息</w:t>
            </w:r>
          </w:p>
        </w:tc>
        <w:tc>
          <w:tcPr>
            <w:tcW w:type="dxa" w:w="3600"/>
            <w:shd w:fill="EAF1F7"/>
            <w:tcMar>
              <w:top w:w="80" w:type="dxa"/>
              <w:start w:w="120" w:type="dxa"/>
              <w:bottom w:w="80" w:type="dxa"/>
              <w:end w:w="120" w:type="dxa"/>
            </w:tcMar>
            <w:vAlign w:val="center"/>
          </w:tcPr>
          <w:p>
            <w:pPr>
              <w:spacing w:before="0" w:after="0" w:line="264" w:lineRule="auto"/>
              <w:jc w:val="center"/>
            </w:pPr>
            <w:r>
              <w:rPr>
                <w:rFonts w:ascii="Calibri" w:hAnsi="Calibri" w:eastAsia="宋体"/>
                <w:b/>
                <w:i w:val="0"/>
                <w:color w:val="1F4E78"/>
                <w:sz w:val="21"/>
              </w:rPr>
              <w:t>签署栏</w:t>
            </w:r>
          </w:p>
        </w:tc>
      </w:tr>
      <w:tr>
        <w:trPr>
          <w:cantSplit/>
        </w:trPr>
        <w:tc>
          <w:tcPr>
            <w:tcW w:type="dxa" w:w="2400"/>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资产所有/业务主管</w:t>
            </w:r>
          </w:p>
        </w:tc>
        <w:tc>
          <w:tcPr>
            <w:tcW w:type="dxa" w:w="33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姓名：________</w:t>
            </w:r>
            <w:r>
              <w:br/>
            </w:r>
            <w:r>
              <w:rPr>
                <w:rFonts w:ascii="Calibri" w:hAnsi="Calibri" w:eastAsia="宋体"/>
                <w:b w:val="0"/>
                <w:i w:val="0"/>
                <w:color w:val="1F2937"/>
                <w:sz w:val="21"/>
              </w:rPr>
              <w:t>职务/工号：________</w:t>
            </w:r>
          </w:p>
        </w:tc>
        <w:tc>
          <w:tcPr>
            <w:tcW w:type="dxa" w:w="360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签名/盖章：________</w:t>
            </w:r>
            <w:r>
              <w:br/>
            </w:r>
            <w:r>
              <w:rPr>
                <w:rFonts w:ascii="Calibri" w:hAnsi="Calibri" w:eastAsia="宋体"/>
                <w:b w:val="0"/>
                <w:i w:val="0"/>
                <w:color w:val="1F2937"/>
                <w:sz w:val="21"/>
              </w:rPr>
              <w:t>日期时间：________</w:t>
            </w:r>
          </w:p>
        </w:tc>
      </w:tr>
      <w:tr>
        <w:trPr>
          <w:cantSplit/>
        </w:trPr>
        <w:tc>
          <w:tcPr>
            <w:tcW w:type="dxa" w:w="2400"/>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平台运营技术负责人</w:t>
            </w:r>
          </w:p>
        </w:tc>
        <w:tc>
          <w:tcPr>
            <w:tcW w:type="dxa" w:w="33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姓名：________</w:t>
            </w:r>
            <w:r>
              <w:br/>
            </w:r>
            <w:r>
              <w:rPr>
                <w:rFonts w:ascii="Calibri" w:hAnsi="Calibri" w:eastAsia="宋体"/>
                <w:b w:val="0"/>
                <w:i w:val="0"/>
                <w:color w:val="1F2937"/>
                <w:sz w:val="21"/>
              </w:rPr>
              <w:t>职务/工号：________</w:t>
            </w:r>
          </w:p>
        </w:tc>
        <w:tc>
          <w:tcPr>
            <w:tcW w:type="dxa" w:w="360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签名/盖章：________</w:t>
            </w:r>
            <w:r>
              <w:br/>
            </w:r>
            <w:r>
              <w:rPr>
                <w:rFonts w:ascii="Calibri" w:hAnsi="Calibri" w:eastAsia="宋体"/>
                <w:b w:val="0"/>
                <w:i w:val="0"/>
                <w:color w:val="1F2937"/>
                <w:sz w:val="21"/>
              </w:rPr>
              <w:t>日期时间：________</w:t>
            </w:r>
          </w:p>
        </w:tc>
      </w:tr>
      <w:tr>
        <w:trPr>
          <w:cantSplit/>
        </w:trPr>
        <w:tc>
          <w:tcPr>
            <w:tcW w:type="dxa" w:w="2400"/>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网络安全负责人</w:t>
            </w:r>
          </w:p>
        </w:tc>
        <w:tc>
          <w:tcPr>
            <w:tcW w:type="dxa" w:w="33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姓名：________</w:t>
            </w:r>
            <w:r>
              <w:br/>
            </w:r>
            <w:r>
              <w:rPr>
                <w:rFonts w:ascii="Calibri" w:hAnsi="Calibri" w:eastAsia="宋体"/>
                <w:b w:val="0"/>
                <w:i w:val="0"/>
                <w:color w:val="1F2937"/>
                <w:sz w:val="21"/>
              </w:rPr>
              <w:t>职务/工号：________</w:t>
            </w:r>
          </w:p>
        </w:tc>
        <w:tc>
          <w:tcPr>
            <w:tcW w:type="dxa" w:w="360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签名/盖章：________</w:t>
            </w:r>
            <w:r>
              <w:br/>
            </w:r>
            <w:r>
              <w:rPr>
                <w:rFonts w:ascii="Calibri" w:hAnsi="Calibri" w:eastAsia="宋体"/>
                <w:b w:val="0"/>
                <w:i w:val="0"/>
                <w:color w:val="1F2937"/>
                <w:sz w:val="21"/>
              </w:rPr>
              <w:t>日期时间：________</w:t>
            </w:r>
          </w:p>
        </w:tc>
      </w:tr>
      <w:tr>
        <w:trPr>
          <w:cantSplit/>
        </w:trPr>
        <w:tc>
          <w:tcPr>
            <w:tcW w:type="dxa" w:w="2400"/>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法务/合规负责人</w:t>
            </w:r>
          </w:p>
        </w:tc>
        <w:tc>
          <w:tcPr>
            <w:tcW w:type="dxa" w:w="33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姓名：________</w:t>
            </w:r>
            <w:r>
              <w:br/>
            </w:r>
            <w:r>
              <w:rPr>
                <w:rFonts w:ascii="Calibri" w:hAnsi="Calibri" w:eastAsia="宋体"/>
                <w:b w:val="0"/>
                <w:i w:val="0"/>
                <w:color w:val="1F2937"/>
                <w:sz w:val="21"/>
              </w:rPr>
              <w:t>职务/工号：________</w:t>
            </w:r>
          </w:p>
        </w:tc>
        <w:tc>
          <w:tcPr>
            <w:tcW w:type="dxa" w:w="360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签名/盖章：________</w:t>
            </w:r>
            <w:r>
              <w:br/>
            </w:r>
            <w:r>
              <w:rPr>
                <w:rFonts w:ascii="Calibri" w:hAnsi="Calibri" w:eastAsia="宋体"/>
                <w:b w:val="0"/>
                <w:i w:val="0"/>
                <w:color w:val="1F2937"/>
                <w:sz w:val="21"/>
              </w:rPr>
              <w:t>日期时间：________</w:t>
            </w:r>
          </w:p>
        </w:tc>
      </w:tr>
      <w:tr>
        <w:trPr>
          <w:cantSplit/>
        </w:trPr>
        <w:tc>
          <w:tcPr>
            <w:tcW w:type="dxa" w:w="2400"/>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应急恢复负责人</w:t>
            </w:r>
          </w:p>
        </w:tc>
        <w:tc>
          <w:tcPr>
            <w:tcW w:type="dxa" w:w="33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姓名：________</w:t>
            </w:r>
            <w:r>
              <w:br/>
            </w:r>
            <w:r>
              <w:rPr>
                <w:rFonts w:ascii="Calibri" w:hAnsi="Calibri" w:eastAsia="宋体"/>
                <w:b w:val="0"/>
                <w:i w:val="0"/>
                <w:color w:val="1F2937"/>
                <w:sz w:val="21"/>
              </w:rPr>
              <w:t>职务/工号：________</w:t>
            </w:r>
          </w:p>
        </w:tc>
        <w:tc>
          <w:tcPr>
            <w:tcW w:type="dxa" w:w="360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签名/盖章：________</w:t>
            </w:r>
            <w:r>
              <w:br/>
            </w:r>
            <w:r>
              <w:rPr>
                <w:rFonts w:ascii="Calibri" w:hAnsi="Calibri" w:eastAsia="宋体"/>
                <w:b w:val="0"/>
                <w:i w:val="0"/>
                <w:color w:val="1F2937"/>
                <w:sz w:val="21"/>
              </w:rPr>
              <w:t>日期时间：________</w:t>
            </w:r>
          </w:p>
        </w:tc>
      </w:tr>
      <w:tr>
        <w:trPr>
          <w:cantSplit/>
        </w:trPr>
        <w:tc>
          <w:tcPr>
            <w:tcW w:type="dxa" w:w="2400"/>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测试负责人/被授权人</w:t>
            </w:r>
          </w:p>
        </w:tc>
        <w:tc>
          <w:tcPr>
            <w:tcW w:type="dxa" w:w="33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姓名：________</w:t>
            </w:r>
            <w:r>
              <w:br/>
            </w:r>
            <w:r>
              <w:rPr>
                <w:rFonts w:ascii="Calibri" w:hAnsi="Calibri" w:eastAsia="宋体"/>
                <w:b w:val="0"/>
                <w:i w:val="0"/>
                <w:color w:val="1F2937"/>
                <w:sz w:val="21"/>
              </w:rPr>
              <w:t>职务/工号：________</w:t>
            </w:r>
          </w:p>
        </w:tc>
        <w:tc>
          <w:tcPr>
            <w:tcW w:type="dxa" w:w="360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签名/盖章：________</w:t>
            </w:r>
            <w:r>
              <w:br/>
            </w:r>
            <w:r>
              <w:rPr>
                <w:rFonts w:ascii="Calibri" w:hAnsi="Calibri" w:eastAsia="宋体"/>
                <w:b w:val="0"/>
                <w:i w:val="0"/>
                <w:color w:val="1F2937"/>
                <w:sz w:val="21"/>
              </w:rPr>
              <w:t>日期时间：________</w:t>
            </w:r>
          </w:p>
        </w:tc>
      </w:tr>
    </w:tbl>
    <w:p>
      <w:pPr>
        <w:pStyle w:val="Heading1"/>
      </w:pPr>
      <w:r>
        <w:t>十四、附件清单</w:t>
      </w:r>
    </w:p>
    <w:tbl>
      <w:tblPr>
        <w:tblStyle w:val="TableGrid"/>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附件 1</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指定测试资产清单（含实例 UUID/订单号/资源池/IP/磁盘范围）</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附件 2</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分阶段测试计划、命令清单、消息类别、速率与停止条件</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附件 3</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批准的合成 Windows OS/软件/KB/Agent 遥测数据集</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附件 4</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备份、快照、官方重装与人工恢复方案及演练记录</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附件 5</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后台观察指标、告警预期与验收记录表</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附件 6</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测试组件、镜像、脚本和最终交付物 SHA-256 清单</w:t>
            </w:r>
          </w:p>
        </w:tc>
      </w:tr>
      <w:tr>
        <w:trPr>
          <w:cantSplit/>
        </w:trPr>
        <w:tc>
          <w:tcPr>
            <w:tcW w:type="dxa" w:w="2100"/>
            <w:shd w:fill="F2F4F7"/>
            <w:tcMar>
              <w:top w:w="80" w:type="dxa"/>
              <w:start w:w="120" w:type="dxa"/>
              <w:bottom w:w="80" w:type="dxa"/>
              <w:end w:w="120" w:type="dxa"/>
            </w:tcMar>
            <w:vAlign w:val="center"/>
          </w:tcPr>
          <w:p>
            <w:pPr>
              <w:spacing w:before="0" w:after="0" w:line="264" w:lineRule="auto"/>
            </w:pPr>
            <w:r>
              <w:rPr>
                <w:rFonts w:ascii="Calibri" w:hAnsi="Calibri" w:eastAsia="宋体"/>
                <w:b/>
                <w:i w:val="0"/>
                <w:color w:val="1F2937"/>
                <w:sz w:val="21"/>
              </w:rPr>
              <w:t>附件 7</w:t>
            </w:r>
          </w:p>
        </w:tc>
        <w:tc>
          <w:tcPr>
            <w:tcW w:type="dxa" w:w="7260"/>
            <w:tcMar>
              <w:top w:w="80" w:type="dxa"/>
              <w:start w:w="120" w:type="dxa"/>
              <w:bottom w:w="80" w:type="dxa"/>
              <w:end w:w="120" w:type="dxa"/>
            </w:tcMar>
            <w:vAlign w:val="center"/>
          </w:tcPr>
          <w:p>
            <w:pPr>
              <w:spacing w:before="0" w:after="0" w:line="264" w:lineRule="auto"/>
            </w:pPr>
            <w:r>
              <w:rPr>
                <w:rFonts w:ascii="Calibri" w:hAnsi="Calibri" w:eastAsia="宋体"/>
                <w:b w:val="0"/>
                <w:i w:val="0"/>
                <w:color w:val="1F2937"/>
                <w:sz w:val="21"/>
              </w:rPr>
              <w:t>保密、数据处理和漏洞披露要求</w:t>
            </w:r>
          </w:p>
        </w:tc>
      </w:tr>
    </w:tbl>
    <w:p>
      <w:pPr>
        <w:spacing w:after="0"/>
      </w:pPr>
    </w:p>
    <w:p>
      <w:pPr>
        <w:pStyle w:val="Heading1"/>
      </w:pPr>
      <w:r>
        <w:t>签署前完整性检查</w:t>
      </w:r>
    </w:p>
    <w:p>
      <w:pPr>
        <w:spacing w:before="0" w:after="60" w:line="264" w:lineRule="auto"/>
      </w:pPr>
      <w:r>
        <w:rPr>
          <w:rFonts w:ascii="Calibri" w:hAnsi="Calibri" w:eastAsia="宋体"/>
          <w:b w:val="0"/>
          <w:i w:val="0"/>
          <w:color w:val="1F2937"/>
          <w:sz w:val="21"/>
        </w:rPr>
        <w:t>□ 授权单位为完整法人名称，且签署人具有授权权限。</w:t>
      </w:r>
    </w:p>
    <w:p>
      <w:pPr>
        <w:spacing w:before="0" w:after="60" w:line="264" w:lineRule="auto"/>
      </w:pPr>
      <w:r>
        <w:rPr>
          <w:rFonts w:ascii="Calibri" w:hAnsi="Calibri" w:eastAsia="宋体"/>
          <w:b w:val="0"/>
          <w:i w:val="0"/>
          <w:color w:val="1F2937"/>
          <w:sz w:val="21"/>
        </w:rPr>
        <w:t>□ 已填写唯一实例 UUID/订单号、资源池和允许改写的磁盘范围。</w:t>
      </w:r>
    </w:p>
    <w:p>
      <w:pPr>
        <w:spacing w:before="0" w:after="60" w:line="264" w:lineRule="auto"/>
      </w:pPr>
      <w:r>
        <w:rPr>
          <w:rFonts w:ascii="Calibri" w:hAnsi="Calibri" w:eastAsia="宋体"/>
          <w:b w:val="0"/>
          <w:i w:val="0"/>
          <w:color w:val="1F2937"/>
          <w:sz w:val="21"/>
        </w:rPr>
        <w:t>□ 身份、遥测、heartbeat、协议构造/重放分别逐项勾选。</w:t>
      </w:r>
    </w:p>
    <w:p>
      <w:pPr>
        <w:spacing w:before="0" w:after="60" w:line="264" w:lineRule="auto"/>
      </w:pPr>
      <w:r>
        <w:rPr>
          <w:rFonts w:ascii="Calibri" w:hAnsi="Calibri" w:eastAsia="宋体"/>
          <w:b w:val="0"/>
          <w:i w:val="0"/>
          <w:color w:val="1F2937"/>
          <w:sz w:val="21"/>
        </w:rPr>
        <w:t>□ 已批准合成数据集、消息类别、速率、凭据处理与销毁时间。</w:t>
      </w:r>
    </w:p>
    <w:p>
      <w:pPr>
        <w:spacing w:before="0" w:after="60" w:line="264" w:lineRule="auto"/>
      </w:pPr>
      <w:r>
        <w:rPr>
          <w:rFonts w:ascii="Calibri" w:hAnsi="Calibri" w:eastAsia="宋体"/>
          <w:b w:val="0"/>
          <w:i w:val="0"/>
          <w:color w:val="1F2937"/>
          <w:sz w:val="21"/>
        </w:rPr>
        <w:t>□ 后台观察人和应急恢复负责人确认测试窗口并可实时联络。</w:t>
      </w:r>
    </w:p>
    <w:p>
      <w:pPr>
        <w:spacing w:before="0" w:after="60" w:line="264" w:lineRule="auto"/>
      </w:pPr>
      <w:r>
        <w:rPr>
          <w:rFonts w:ascii="Calibri" w:hAnsi="Calibri" w:eastAsia="宋体"/>
          <w:b w:val="0"/>
          <w:i w:val="0"/>
          <w:color w:val="1F2937"/>
          <w:sz w:val="21"/>
        </w:rPr>
        <w:t>□ 已验证官方重装/快照/替代实例等恢复路径。</w:t>
      </w:r>
    </w:p>
    <w:p>
      <w:pPr>
        <w:spacing w:before="0" w:after="60" w:line="264" w:lineRule="auto"/>
      </w:pPr>
      <w:r>
        <w:rPr>
          <w:rFonts w:ascii="Calibri" w:hAnsi="Calibri" w:eastAsia="宋体"/>
          <w:b w:val="0"/>
          <w:i w:val="0"/>
          <w:color w:val="1F2937"/>
          <w:sz w:val="21"/>
        </w:rPr>
        <w:t>□ 网络安全和法务/合规负责人已经签署。</w:t>
      </w:r>
    </w:p>
    <w:p>
      <w:pPr>
        <w:spacing w:before="0" w:after="60" w:line="264" w:lineRule="auto"/>
      </w:pPr>
      <w:r>
        <w:rPr>
          <w:rFonts w:ascii="Calibri" w:hAnsi="Calibri" w:eastAsia="宋体"/>
          <w:b w:val="0"/>
          <w:i w:val="0"/>
          <w:color w:val="1F2937"/>
          <w:sz w:val="21"/>
        </w:rPr>
        <w:t>□ 所有附件与本授权书版本一致并已加盖骑缝章或电子签名。</w:t>
      </w:r>
    </w:p>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right"/>
    </w:pPr>
    <w:r>
      <w:rPr>
        <w:rFonts w:ascii="Calibri" w:hAnsi="Calibri" w:eastAsia="宋体"/>
        <w:b w:val="0"/>
        <w:i w:val="0"/>
        <w:color w:val="667085"/>
        <w:sz w:val="17"/>
      </w:rPr>
      <w:t xml:space="preserve">云桌面 Debian 兼容性与 Guest 管理安全测试授权书范本  |  第 </w:t>
    </w:r>
    <w:r>
      <w:rPr>
        <w:rFonts w:ascii="Calibri" w:hAnsi="Calibri" w:eastAsia="宋体"/>
        <w:b w:val="0"/>
        <w:i w:val="0"/>
        <w:color w:val="667085"/>
        <w:sz w:val="18"/>
      </w:rPr>
      <w:fldChar w:fldCharType="begin"/>
      <w:instrText xml:space="preserve"> PAGE </w:instrText>
      <w:fldChar w:fldCharType="separate"/>
      <w:t>1</w:t>
      <w:fldChar w:fldCharType="end"/>
    </w:r>
    <w:r>
      <w:rPr>
        <w:rFonts w:ascii="Calibri" w:hAnsi="Calibri" w:eastAsia="宋体"/>
        <w:b w:val="0"/>
        <w:i w:val="0"/>
        <w:color w:val="667085"/>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pPr>
    <w:r>
      <w:rPr>
        <w:rFonts w:ascii="Calibri" w:hAnsi="Calibri" w:eastAsia="宋体"/>
        <w:b w:val="0"/>
        <w:i w:val="0"/>
        <w:color w:val="667085"/>
        <w:sz w:val="17"/>
      </w:rPr>
      <w:t>受控安全测试文件 | 未签署前无授权效力</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微软雅黑" w:hAnsi="微软雅黑" w:eastAsia="微软雅黑"/>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微软雅黑" w:hAnsi="微软雅黑" w:eastAsia="微软雅黑"/>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微软雅黑" w:hAnsi="微软雅黑" w:eastAsia="微软雅黑"/>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云桌面 Debian 兼容性与 Guest 管理安全测试授权书范本</dc:title>
  <dc:subject>受控操作系统替换、Guest 身份、管理协议与遥测仿真测试授权</dc:subject>
  <dc:creator/>
  <cp:keywords>云桌面, Debian, Guest Agent, 安全测试, 授权书</cp:keywords>
  <dc:description>generated by python-docx</dc:description>
  <cp:lastModifiedBy/>
  <cp:revision>1</cp:revision>
  <dcterms:created xsi:type="dcterms:W3CDTF">2013-12-23T23:15:00Z</dcterms:created>
  <dcterms:modified xsi:type="dcterms:W3CDTF">2013-12-23T23:15:00Z</dcterms:modified>
  <cp:category/>
</cp:coreProperties>
</file>