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69"/>
            <w:shd w:val="clear" w:color="auto" w:fill="1C3D2A"/>
          </w:tcPr>
          <w:p>
            <w:pPr>
              <w:spacing w:before="120" w:after="40"/>
              <w:jc w:val="left"/>
            </w:pPr>
            <w:r>
              <w:rPr>
                <w:rFonts w:ascii="Calibri" w:hAnsi="Calibri"/>
                <w:b/>
                <w:i w:val="0"/>
                <w:color w:val="C9A020"/>
                <w:sz w:val="32"/>
              </w:rPr>
              <w:t>✦ ÉLÉGANCE PRESSING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Abidjan, Côte d'Ivoire</w:t>
              <w:br/>
              <w:t>contact@pressingelegance.com</w:t>
            </w:r>
          </w:p>
        </w:tc>
        <w:tc>
          <w:tcPr>
            <w:tcW w:type="dxa" w:w="2835"/>
            <w:shd w:val="clear" w:color="auto" w:fill="1C3D2A"/>
          </w:tcPr>
          <w:p>
            <w:pPr>
              <w:spacing w:before="120" w:after="40"/>
              <w:jc w:val="right"/>
            </w:pPr>
            <w:r>
              <w:rPr>
                <w:rFonts w:ascii="Calibri" w:hAnsi="Calibri"/>
                <w:b/>
                <w:i w:val="0"/>
                <w:color w:val="C9A020"/>
                <w:sz w:val="26"/>
              </w:rPr>
              <w:t>DEVIS DE DÉVELOPPEMENT</w:t>
            </w:r>
          </w:p>
          <w:p>
            <w:pPr>
              <w:spacing w:before="0" w:after="120"/>
              <w:jc w:val="right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Réf. : EP-DEVIS-2026-001</w:t>
              <w:br/>
              <w:t>Date : 14 Avril 2026</w:t>
              <w:br/>
              <w:t>Validité : 30 jours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C3D2A"/>
          </w:tcPr>
          <w:p>
            <w:pPr>
              <w:spacing w:before="100" w:after="40"/>
              <w:jc w:val="left"/>
            </w:pPr>
            <w:r>
              <w:rPr>
                <w:rFonts w:ascii="Calibri" w:hAnsi="Calibri"/>
                <w:b/>
                <w:i w:val="0"/>
                <w:color w:val="C9A020"/>
                <w:sz w:val="26"/>
              </w:rPr>
              <w:t xml:space="preserve">DEVIS N°1  —  </w:t>
            </w: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V2 — Plateforme Client Publique</w:t>
            </w:r>
          </w:p>
          <w:p>
            <w:pPr>
              <w:spacing w:before="0" w:after="100"/>
              <w:jc w:val="left"/>
            </w:pPr>
            <w:r>
              <w:rPr>
                <w:rFonts w:ascii="Calibri" w:hAnsi="Calibri"/>
                <w:b w:val="0"/>
                <w:i/>
                <w:color w:val="F5F5DC"/>
                <w:sz w:val="18"/>
              </w:rPr>
              <w:t>Version indépendante · Site vitrine + Espace client authentifié + Programme de fidélité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/>
                <w:color w:val="404040"/>
                <w:sz w:val="18"/>
              </w:rPr>
              <w:t>📌  Cette version est autonome et déployable sans interface de gestion interne. Les données (statuts de commandes) sont alimentées manuellement en base de données.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Périmètre fonctionnel &amp; tarification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Module / Fonctionnalité</w:t>
            </w:r>
          </w:p>
        </w:tc>
        <w:tc>
          <w:tcPr>
            <w:tcW w:type="dxa" w:w="5102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Périmètre inclus</w:t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Forfait (FCFA)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🌐 Site vitrine public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Page Accueil · Page Services · Page Contact</w:t>
              <w:br/>
              <w:t>Design responsive, animations, SEO de base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100 000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🔐 Authentification client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Inscription (formulaire + validation)</w:t>
              <w:br/>
              <w:t>Connexion sécurisée · Réinitialisation mot de passe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100 000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📊 Dashboard client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Résumé des commandes en cours</w:t>
              <w:br/>
              <w:t>Solde de points fidélité · Alertes &amp; notifications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80 000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📦 Suivi des commandes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Liste de toutes les commandes avec filtres</w:t>
              <w:br/>
              <w:t>Détail commande — Cas 1 (en cours) &amp; Cas 2 (livrée)</w:t>
              <w:br/>
              <w:t>Timeline d'avancement du statut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150 000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🎁 Programme de fidélité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Affichage du solde et de l'historique des points</w:t>
              <w:br/>
              <w:t>Règle : 1 pt / 100 FCFA · 1 pt = 5 FCFA de remise</w:t>
              <w:br/>
              <w:t>Bonus bienvenue : 50 pts à l'inscription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100 000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👤 Profil client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Modification des informations personnelles</w:t>
              <w:br/>
              <w:t>Changement de mot de passe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50 000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🗄️  Base de données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Conception &amp; migrations : clients, commandes,</w:t>
              <w:br/>
              <w:t>vêtements, points fidélité · Modèles Eloquent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100 000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🚀 Tests, déploiement &amp; documentation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Tests fonctionnels complets</w:t>
              <w:br/>
              <w:t>Mise en production + guide utilisateur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120 000</w:t>
            </w:r>
          </w:p>
        </w:tc>
      </w:tr>
      <w:tr>
        <w:tc>
          <w:tcPr>
            <w:tcW w:type="dxa" w:w="2551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 V2</w:t>
            </w:r>
          </w:p>
        </w:tc>
        <w:tc>
          <w:tcPr>
            <w:tcW w:type="dxa" w:w="5102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800 000 FCFA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Délai estimé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Module / Fonctionnalité</w:t>
            </w:r>
          </w:p>
        </w:tc>
        <w:tc>
          <w:tcPr>
            <w:tcW w:type="dxa" w:w="6236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Périmètre inclus</w:t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Forfait (FCFA)</w:t>
            </w:r>
          </w:p>
        </w:tc>
      </w:tr>
      <w:tr>
        <w:tc>
          <w:tcPr>
            <w:tcW w:type="dxa" w:w="1417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Phase 1</w:t>
            </w:r>
          </w:p>
        </w:tc>
        <w:tc>
          <w:tcPr>
            <w:tcW w:type="dxa" w:w="6236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Infrastructure, base de données, authentification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 sem.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Phase 2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Site vitrine, espace client, suivi commandes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 sem.</w:t>
            </w:r>
          </w:p>
        </w:tc>
      </w:tr>
      <w:tr>
        <w:tc>
          <w:tcPr>
            <w:tcW w:type="dxa" w:w="1417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Phase 3</w:t>
            </w:r>
          </w:p>
        </w:tc>
        <w:tc>
          <w:tcPr>
            <w:tcW w:type="dxa" w:w="6236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Fidélité, profil, tests &amp; déploiement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 sem.</w:t>
            </w:r>
          </w:p>
        </w:tc>
      </w:tr>
      <w:tr>
        <w:tc>
          <w:tcPr>
            <w:tcW w:type="dxa" w:w="1417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6236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 semaines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Conditions de paiement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C3D2A"/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i w:val="0"/>
                <w:color w:val="C9A020"/>
                <w:sz w:val="18"/>
              </w:rPr>
              <w:t>Acompte (40%)</w:t>
              <w:br/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320 000 FCFA</w:t>
            </w:r>
          </w:p>
        </w:tc>
        <w:tc>
          <w:tcPr>
            <w:tcW w:type="dxa" w:w="2835"/>
            <w:shd w:val="clear" w:color="auto" w:fill="1C3D2A"/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i w:val="0"/>
                <w:color w:val="C9A020"/>
                <w:sz w:val="18"/>
              </w:rPr>
              <w:t>Solde (60%)</w:t>
              <w:br/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480 000 FCFA</w:t>
            </w:r>
          </w:p>
        </w:tc>
        <w:tc>
          <w:tcPr>
            <w:tcW w:type="dxa" w:w="2835"/>
            <w:shd w:val="clear" w:color="auto" w:fill="C9A020"/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i w:val="0"/>
                <w:color w:val="1C3D2A"/>
                <w:sz w:val="18"/>
              </w:rPr>
              <w:t>Garantie</w:t>
              <w:br/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1 mois inclus</w:t>
            </w:r>
          </w:p>
        </w:tc>
      </w:tr>
    </w:tbl>
    <w:p/>
    <w:p>
      <w:pPr>
        <w:pBdr>
          <w:bottom w:val="single" w:sz="6" w:space="1" w:color="1C3D2A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C3D2A"/>
          </w:tcPr>
          <w:p>
            <w:pPr>
              <w:spacing w:before="100" w:after="40"/>
              <w:jc w:val="left"/>
            </w:pPr>
            <w:r>
              <w:rPr>
                <w:rFonts w:ascii="Calibri" w:hAnsi="Calibri"/>
                <w:b/>
                <w:i w:val="0"/>
                <w:color w:val="C9A020"/>
                <w:sz w:val="26"/>
              </w:rPr>
              <w:t xml:space="preserve">DEVIS N°2  —  </w:t>
            </w: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V1 — Interface de Gestion Interne (Back-office)</w:t>
            </w:r>
          </w:p>
          <w:p>
            <w:pPr>
              <w:spacing w:before="0" w:after="100"/>
              <w:jc w:val="left"/>
            </w:pPr>
            <w:r>
              <w:rPr>
                <w:rFonts w:ascii="Calibri" w:hAnsi="Calibri"/>
                <w:b w:val="0"/>
                <w:i/>
                <w:color w:val="F5F5DC"/>
                <w:sz w:val="18"/>
              </w:rPr>
              <w:t>Application métier : 7 use cases complets · Rôles Employé &amp; Administrateur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/>
                <w:color w:val="404040"/>
                <w:sz w:val="18"/>
              </w:rPr>
              <w:t>📌  Flux métier couvert de bout en bout : Réception → Lavage → Repassage → Regroupement → Paiement → Remise.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Périmètre fonctionnel &amp; tarification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Module / Fonctionnalité</w:t>
            </w:r>
          </w:p>
        </w:tc>
        <w:tc>
          <w:tcPr>
            <w:tcW w:type="dxa" w:w="5102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Périmètre inclus</w:t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Forfait (FCFA)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🔐 Authentification &amp; Rôles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Login sécurisé · Rôle Employé (accès opérations)</w:t>
              <w:br/>
              <w:t>Rôle Admin (accès complet + configuration)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100 000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📊 Dashboard de supervision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Commandes du jour · Lots en attente de traitement</w:t>
              <w:br/>
              <w:t>Commandes prêtes à remettre · Alertes retards</w:t>
              <w:br/>
              <w:t>CA du jour · Graphique hebdomadaire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100 000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📋 UC1 — Enregistrement commande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Fiche client avec recherche autocomplete</w:t>
              <w:br/>
              <w:t>Ajout de vêtements (type, qté, prix auto)</w:t>
              <w:br/>
              <w:t>Dates calculées auto (lavage J+1, sortie J+3)</w:t>
              <w:br/>
              <w:t>Génération numéro EP-YYYYMMDD-XXX · Ticket imprimable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200 000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📅 UC2 — Planification lots de lavage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Affichage des vêtements sans lot (statut : Reçu)</w:t>
              <w:br/>
              <w:t>Regroupement par date &amp; type de vêtement</w:t>
              <w:br/>
              <w:t>Création et assignation de lots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120 000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🫧 UC3 — Traitement des lots de lavage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Liste des lots planifiés par jour</w:t>
              <w:br/>
              <w:t>Actions : Démarrer · Valider · Reporter (motif)</w:t>
              <w:br/>
              <w:t>Mise à jour statut vêtement → Lavé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120 000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👔 UC4 — Traitement du repassage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Même logique que UC3 pour vêtements au statut Lavé</w:t>
              <w:br/>
              <w:t>Création lots de repassage · Validation → Repassé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80 000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🗂️  UC5 — Regroupement par client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Liste des clients avec vêtements repassés</w:t>
              <w:br/>
              <w:t>Checklist de vérification par commande</w:t>
              <w:br/>
              <w:t>Validation → commande passe à Prêt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100 000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💳 UC6 — Gestion des paiements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Versements multiples par commande</w:t>
              <w:br/>
              <w:t>Modes : Espèces · MTN MoMo · Orange · Wave · Moov</w:t>
              <w:br/>
              <w:t>Statut auto : Non payé / Partiel / Payé</w:t>
              <w:br/>
              <w:t>Référence transaction Mobile Money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120 000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📬 UC7 — Remise des vêtements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Vérification statut (bloqué si ≠ Prêt)</w:t>
              <w:br/>
              <w:t>Avertissement si paiement partiel / non payé</w:t>
              <w:br/>
              <w:t>Confirmation remise → statut Retiré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60 000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⚙️  Administration — Types &amp; tarifs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CRUD types de vêtements (nom, prix, priorité)</w:t>
              <w:br/>
              <w:t>Gestion des jours fériés et exceptions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80 000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👥 Administration — Clients &amp; Utilisateurs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Liste clients, fiches, historique commandes</w:t>
              <w:br/>
              <w:t>Gestion des comptes utilisateurs (employés/admins)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70 000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📈 Administration — Rapports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Commandes par période &amp; par statut</w:t>
              <w:br/>
              <w:t>Chiffre d'affaires · Performance par employé</w:t>
              <w:br/>
              <w:t>Export PDF / impression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100 000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🗄️  Base de données &amp; Infrastructure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Migrations complètes : clients, commandes, vêtements,</w:t>
              <w:br/>
              <w:t>lots, paiements, types, utilisateurs</w:t>
              <w:br/>
              <w:t>Seeders de démarrage · Configuration Laravel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100 000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🚀 Tests, déploiement &amp; documentation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Tests fonctionnels des 7 UC</w:t>
              <w:br/>
              <w:t>Mise en production + guide utilisateur + guide admin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150 000</w:t>
            </w:r>
          </w:p>
        </w:tc>
      </w:tr>
      <w:tr>
        <w:tc>
          <w:tcPr>
            <w:tcW w:type="dxa" w:w="2551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 V1</w:t>
            </w:r>
          </w:p>
        </w:tc>
        <w:tc>
          <w:tcPr>
            <w:tcW w:type="dxa" w:w="5102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1 500 000 FCFA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Délai estimé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Module / Fonctionnalité</w:t>
            </w:r>
          </w:p>
        </w:tc>
        <w:tc>
          <w:tcPr>
            <w:tcW w:type="dxa" w:w="6236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Périmètre inclus</w:t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Forfait (FCFA)</w:t>
            </w:r>
          </w:p>
        </w:tc>
      </w:tr>
      <w:tr>
        <w:tc>
          <w:tcPr>
            <w:tcW w:type="dxa" w:w="1417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Phase 1</w:t>
            </w:r>
          </w:p>
        </w:tc>
        <w:tc>
          <w:tcPr>
            <w:tcW w:type="dxa" w:w="6236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Infrastructure, base de données, auth, dashboard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 sem.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Phase 2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UC1 à UC4 (commande, lots lavage, repassage)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 sem.</w:t>
            </w:r>
          </w:p>
        </w:tc>
      </w:tr>
      <w:tr>
        <w:tc>
          <w:tcPr>
            <w:tcW w:type="dxa" w:w="1417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Phase 3</w:t>
            </w:r>
          </w:p>
        </w:tc>
        <w:tc>
          <w:tcPr>
            <w:tcW w:type="dxa" w:w="6236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UC5 à UC7 (regroupement, paiement, remise), administration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 sem.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Phase 4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Tests, corrections, déploiement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 sem.</w:t>
            </w:r>
          </w:p>
        </w:tc>
      </w:tr>
      <w:tr>
        <w:tc>
          <w:tcPr>
            <w:tcW w:type="dxa" w:w="1417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6236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6 semaines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Conditions de paiement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C3D2A"/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i w:val="0"/>
                <w:color w:val="C9A020"/>
                <w:sz w:val="18"/>
              </w:rPr>
              <w:t>Acompte (40%)</w:t>
              <w:br/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600 000 FCFA</w:t>
            </w:r>
          </w:p>
        </w:tc>
        <w:tc>
          <w:tcPr>
            <w:tcW w:type="dxa" w:w="2835"/>
            <w:shd w:val="clear" w:color="auto" w:fill="1C3D2A"/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i w:val="0"/>
                <w:color w:val="C9A020"/>
                <w:sz w:val="18"/>
              </w:rPr>
              <w:t>Solde (60%)</w:t>
              <w:br/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900 000 FCFA</w:t>
            </w:r>
          </w:p>
        </w:tc>
        <w:tc>
          <w:tcPr>
            <w:tcW w:type="dxa" w:w="2835"/>
            <w:shd w:val="clear" w:color="auto" w:fill="C9A020"/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i w:val="0"/>
                <w:color w:val="1C3D2A"/>
                <w:sz w:val="18"/>
              </w:rPr>
              <w:t>Garantie</w:t>
              <w:br/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1 mois inclus</w:t>
            </w:r>
          </w:p>
        </w:tc>
      </w:tr>
    </w:tbl>
    <w:p/>
    <w:p>
      <w:pPr>
        <w:pBdr>
          <w:bottom w:val="single" w:sz="6" w:space="1" w:color="1C3D2A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C3D2A"/>
          </w:tcPr>
          <w:p>
            <w:pPr>
              <w:spacing w:before="100" w:after="40"/>
              <w:jc w:val="left"/>
            </w:pPr>
            <w:r>
              <w:rPr>
                <w:rFonts w:ascii="Calibri" w:hAnsi="Calibri"/>
                <w:b/>
                <w:i w:val="0"/>
                <w:color w:val="C9A020"/>
                <w:sz w:val="26"/>
              </w:rPr>
              <w:t xml:space="preserve">DEVIS N°3  —  </w:t>
            </w: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V1 + V2 Intégrées — Solution Complète</w:t>
            </w:r>
          </w:p>
          <w:p>
            <w:pPr>
              <w:spacing w:before="0" w:after="100"/>
              <w:jc w:val="left"/>
            </w:pPr>
            <w:r>
              <w:rPr>
                <w:rFonts w:ascii="Calibri" w:hAnsi="Calibri"/>
                <w:b w:val="0"/>
                <w:i/>
                <w:color w:val="F5F5DC"/>
                <w:sz w:val="18"/>
              </w:rPr>
              <w:t>Gestion interne + Portail client · Base de données unifiée · Synchronisation temps réel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/>
                <w:color w:val="404040"/>
                <w:sz w:val="18"/>
              </w:rPr>
              <w:t>💡  Cette offre inclut tout le périmètre de V1 et V2, plus les modules d'intégration qui connectent les deux systèmes. Bénéficiez d'une remise de 305 000 FCFA (-10%) par rapport au développement séparé.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Périmètre fonctionnel complet &amp; tarification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Module / Fonctionnalité</w:t>
            </w:r>
          </w:p>
        </w:tc>
        <w:tc>
          <w:tcPr>
            <w:tcW w:type="dxa" w:w="5102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Périmètre inclus</w:t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Forfait (FCFA)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 Périmètre V1 complet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Les 14 modules du Devis N°2</w:t>
              <w:br/>
              <w:t>(Authentification, 7 UC, Dashboard, Administration, Base de données)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1 500 000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 Périmètre V2 complet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Les 8 modules du Devis N°1</w:t>
              <w:br/>
              <w:t>(Vitrine, Auth client, Dashboard, Commandes, Fidélité, Profil)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800 000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🔗 Base de données unifiée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Schéma partagé : clients V1 ↔ comptes V2</w:t>
              <w:br/>
              <w:t>Commandes centralisées · refactoring des migrations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150 000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🔄 Liaison compte client V1 ↔ V2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Un client V1 peut créer son espace V2 et retrouver</w:t>
              <w:br/>
              <w:t>automatiquement tout son historique de commandes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100 000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🎁 Points fidélité automatiques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Chaque paiement enregistré en V1 génère</w:t>
              <w:br/>
              <w:t>automatiquement les points dans l'espace V2 du client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100 000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📧 Notifications email automatiques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Email au client à chaque changement de statut clé</w:t>
              <w:br/>
              <w:t>(Reçu, En cours, Prêt à récupérer, Retiré)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100 000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🧾 Envoi ticket par email depuis V1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L'employé peut envoyer le ticket de commande</w:t>
              <w:br/>
              <w:t>par email au client directement depuis l'interface V1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50 000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🧪 Tests d'intégration end-to-end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Tests couvrant les flux complets V1 → V2</w:t>
              <w:br/>
              <w:t>(paiement → points, statut V1 → vue V2, liaison comptes)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150 000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📚 Documentation complète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Guide utilisateur · Guide administrateur</w:t>
              <w:br/>
              <w:t>Documentation technique · Manuel d'intégration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100 000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Sous-total brut (V1 + V2 + intégration)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3 050 000</w:t>
            </w:r>
          </w:p>
        </w:tc>
      </w:tr>
      <w:tr>
        <w:tc>
          <w:tcPr>
            <w:tcW w:type="dxa" w:w="2551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Remise intégration (-10%)</w:t>
            </w:r>
          </w:p>
        </w:tc>
        <w:tc>
          <w:tcPr>
            <w:tcW w:type="dxa" w:w="5102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-305 000</w:t>
            </w:r>
          </w:p>
        </w:tc>
      </w:tr>
      <w:tr>
        <w:tc>
          <w:tcPr>
            <w:tcW w:type="dxa" w:w="2551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 NET V1+V2</w:t>
            </w:r>
          </w:p>
        </w:tc>
        <w:tc>
          <w:tcPr>
            <w:tcW w:type="dxa" w:w="5102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2 745 000 FCFA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Délai estimé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Module / Fonctionnalité</w:t>
            </w:r>
          </w:p>
        </w:tc>
        <w:tc>
          <w:tcPr>
            <w:tcW w:type="dxa" w:w="6236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Périmètre inclus</w:t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Forfait (FCFA)</w:t>
            </w:r>
          </w:p>
        </w:tc>
      </w:tr>
      <w:tr>
        <w:tc>
          <w:tcPr>
            <w:tcW w:type="dxa" w:w="1417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Phase 1</w:t>
            </w:r>
          </w:p>
        </w:tc>
        <w:tc>
          <w:tcPr>
            <w:tcW w:type="dxa" w:w="6236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Infrastructure commune, base unifiée, authentifications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 sem.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Phase 2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Développement V1 (7 UC + Admin + Dashboard)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4 sem.</w:t>
            </w:r>
          </w:p>
        </w:tc>
      </w:tr>
      <w:tr>
        <w:tc>
          <w:tcPr>
            <w:tcW w:type="dxa" w:w="1417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Phase 3</w:t>
            </w:r>
          </w:p>
        </w:tc>
        <w:tc>
          <w:tcPr>
            <w:tcW w:type="dxa" w:w="6236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Développement V2 (Vitrine + Espace client), en parallèle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2 sem.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Phase 4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Modules d'intégration (fidélité, notifs, liaison comptes)</w:t>
            </w:r>
          </w:p>
        </w:tc>
        <w:tc>
          <w:tcPr>
            <w:tcW w:type="dxa" w:w="1417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 sem.</w:t>
            </w:r>
          </w:p>
        </w:tc>
      </w:tr>
      <w:tr>
        <w:tc>
          <w:tcPr>
            <w:tcW w:type="dxa" w:w="1417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Phase 5</w:t>
            </w:r>
          </w:p>
        </w:tc>
        <w:tc>
          <w:tcPr>
            <w:tcW w:type="dxa" w:w="6236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Tests end-to-end, corrections, déploiement &amp; documentation</w:t>
            </w:r>
          </w:p>
        </w:tc>
        <w:tc>
          <w:tcPr>
            <w:tcW w:type="dxa" w:w="1417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 sem.</w:t>
            </w:r>
          </w:p>
        </w:tc>
      </w:tr>
      <w:tr>
        <w:tc>
          <w:tcPr>
            <w:tcW w:type="dxa" w:w="1417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6236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417"/>
            <w:shd w:val="clear" w:color="auto" w:fill="C9A020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~9 semaines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Conditions de paiement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C3D2A"/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i w:val="0"/>
                <w:color w:val="C9A020"/>
                <w:sz w:val="18"/>
              </w:rPr>
              <w:t>Acompte (40%)</w:t>
              <w:br/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1 098 000 FCFA</w:t>
            </w:r>
          </w:p>
        </w:tc>
        <w:tc>
          <w:tcPr>
            <w:tcW w:type="dxa" w:w="2835"/>
            <w:shd w:val="clear" w:color="auto" w:fill="1C3D2A"/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i w:val="0"/>
                <w:color w:val="C9A020"/>
                <w:sz w:val="18"/>
              </w:rPr>
              <w:t>Solde (60%)</w:t>
              <w:br/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1 647 000 FCFA</w:t>
            </w:r>
          </w:p>
        </w:tc>
        <w:tc>
          <w:tcPr>
            <w:tcW w:type="dxa" w:w="2835"/>
            <w:shd w:val="clear" w:color="auto" w:fill="C9A020"/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i w:val="0"/>
                <w:color w:val="1C3D2A"/>
                <w:sz w:val="18"/>
              </w:rPr>
              <w:t>Garantie</w:t>
              <w:br/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2 mois inclus</w:t>
            </w:r>
          </w:p>
        </w:tc>
      </w:tr>
    </w:tbl>
    <w:p/>
    <w:p>
      <w:pPr>
        <w:pBdr>
          <w:bottom w:val="single" w:sz="6" w:space="1" w:color="1C3D2A"/>
        </w:pBdr>
      </w:pPr>
    </w:p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Tableau comparatif des offres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Module / Fonctionnalité</w:t>
            </w:r>
          </w:p>
        </w:tc>
        <w:tc>
          <w:tcPr>
            <w:tcW w:type="dxa" w:w="2835"/>
            <w:shd w:val="clear" w:color="auto" w:fill="1C3D2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Périmètre inclus</w:t>
            </w:r>
          </w:p>
        </w:tc>
        <w:tc>
          <w:tcPr>
            <w:tcW w:type="dxa" w:w="3402"/>
            <w:shd w:val="clear" w:color="auto" w:fill="C9A0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Forfait (FCFA)</w:t>
            </w:r>
          </w:p>
        </w:tc>
      </w:tr>
      <w:tr>
        <w:tc>
          <w:tcPr>
            <w:tcW w:type="dxa" w:w="2835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</w:r>
          </w:p>
        </w:tc>
        <w:tc>
          <w:tcPr>
            <w:tcW w:type="dxa" w:w="2835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Devis N°1 — V2 seule</w:t>
            </w:r>
          </w:p>
        </w:tc>
        <w:tc>
          <w:tcPr>
            <w:tcW w:type="dxa" w:w="3402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Devis N°2 — V1 seule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Montant total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800 000 FCFA</w:t>
            </w:r>
          </w:p>
        </w:tc>
        <w:tc>
          <w:tcPr>
            <w:tcW w:type="dxa" w:w="3402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1 500 000 FCFA</w:t>
            </w:r>
          </w:p>
        </w:tc>
      </w:tr>
      <w:tr>
        <w:tc>
          <w:tcPr>
            <w:tcW w:type="dxa" w:w="2835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Délai</w:t>
            </w:r>
          </w:p>
        </w:tc>
        <w:tc>
          <w:tcPr>
            <w:tcW w:type="dxa" w:w="2835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4 semaines</w:t>
            </w:r>
          </w:p>
        </w:tc>
        <w:tc>
          <w:tcPr>
            <w:tcW w:type="dxa" w:w="3402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6 semaines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Acompte (40%)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320 000 FCFA</w:t>
            </w:r>
          </w:p>
        </w:tc>
        <w:tc>
          <w:tcPr>
            <w:tcW w:type="dxa" w:w="3402"/>
            <w:shd w:val="clear" w:color="auto" w:fill="F9FF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600 000 FCFA</w:t>
            </w:r>
          </w:p>
        </w:tc>
      </w:tr>
      <w:tr>
        <w:tc>
          <w:tcPr>
            <w:tcW w:type="dxa" w:w="2835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Garantie</w:t>
            </w:r>
          </w:p>
        </w:tc>
        <w:tc>
          <w:tcPr>
            <w:tcW w:type="dxa" w:w="2835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 mois</w:t>
            </w:r>
          </w:p>
        </w:tc>
        <w:tc>
          <w:tcPr>
            <w:tcW w:type="dxa" w:w="3402"/>
            <w:shd w:val="clear" w:color="auto" w:fill="FAFFF8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1 mois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18"/>
            <w:shd w:val="clear" w:color="auto" w:fill="1C3D2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Fonctionnalité</w:t>
            </w:r>
          </w:p>
        </w:tc>
        <w:tc>
          <w:tcPr>
            <w:tcW w:type="dxa" w:w="1871"/>
            <w:shd w:val="clear" w:color="auto" w:fill="2E6B45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Devis N°1</w:t>
              <w:br/>
              <w:t>V2 seule</w:t>
            </w:r>
          </w:p>
        </w:tc>
        <w:tc>
          <w:tcPr>
            <w:tcW w:type="dxa" w:w="1871"/>
            <w:shd w:val="clear" w:color="auto" w:fill="2E6B45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Devis N°2</w:t>
              <w:br/>
              <w:t>V1 seule</w:t>
            </w:r>
          </w:p>
        </w:tc>
        <w:tc>
          <w:tcPr>
            <w:tcW w:type="dxa" w:w="1928"/>
            <w:shd w:val="clear" w:color="auto" w:fill="C9A0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Devis N°3</w:t>
              <w:br/>
              <w:t>V1+V2</w:t>
            </w:r>
          </w:p>
        </w:tc>
      </w:tr>
      <w:tr>
        <w:tc>
          <w:tcPr>
            <w:tcW w:type="dxa" w:w="3118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Montant total</w:t>
            </w:r>
          </w:p>
        </w:tc>
        <w:tc>
          <w:tcPr>
            <w:tcW w:type="dxa" w:w="1871"/>
            <w:shd w:val="clear" w:color="auto" w:fill="F0F7F2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800 000 FCFA</w:t>
            </w:r>
          </w:p>
        </w:tc>
        <w:tc>
          <w:tcPr>
            <w:tcW w:type="dxa" w:w="1871"/>
            <w:shd w:val="clear" w:color="auto" w:fill="F0F7F2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1 500 000 FCFA</w:t>
            </w:r>
          </w:p>
        </w:tc>
        <w:tc>
          <w:tcPr>
            <w:tcW w:type="dxa" w:w="1928"/>
            <w:shd w:val="clear" w:color="auto" w:fill="FFF8E1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2 745 000 FCFA</w:t>
            </w:r>
          </w:p>
        </w:tc>
      </w:tr>
      <w:tr>
        <w:tc>
          <w:tcPr>
            <w:tcW w:type="dxa" w:w="3118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Délai</w:t>
            </w:r>
          </w:p>
        </w:tc>
        <w:tc>
          <w:tcPr>
            <w:tcW w:type="dxa" w:w="1871"/>
            <w:shd w:val="clear" w:color="auto" w:fill="F0F7F2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4 semaines</w:t>
            </w:r>
          </w:p>
        </w:tc>
        <w:tc>
          <w:tcPr>
            <w:tcW w:type="dxa" w:w="1871"/>
            <w:shd w:val="clear" w:color="auto" w:fill="F0F7F2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6 semaines</w:t>
            </w:r>
          </w:p>
        </w:tc>
        <w:tc>
          <w:tcPr>
            <w:tcW w:type="dxa" w:w="1928"/>
            <w:shd w:val="clear" w:color="auto" w:fill="FFF8E1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9 semaines</w:t>
            </w:r>
          </w:p>
        </w:tc>
      </w:tr>
      <w:tr>
        <w:tc>
          <w:tcPr>
            <w:tcW w:type="dxa" w:w="3118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Acompte (40%)</w:t>
            </w:r>
          </w:p>
        </w:tc>
        <w:tc>
          <w:tcPr>
            <w:tcW w:type="dxa" w:w="1871"/>
            <w:shd w:val="clear" w:color="auto" w:fill="F0F7F2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320 000 FCFA</w:t>
            </w:r>
          </w:p>
        </w:tc>
        <w:tc>
          <w:tcPr>
            <w:tcW w:type="dxa" w:w="1871"/>
            <w:shd w:val="clear" w:color="auto" w:fill="F0F7F2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600 000 FCFA</w:t>
            </w:r>
          </w:p>
        </w:tc>
        <w:tc>
          <w:tcPr>
            <w:tcW w:type="dxa" w:w="1928"/>
            <w:shd w:val="clear" w:color="auto" w:fill="FFF8E1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1 098 000 FCFA</w:t>
            </w:r>
          </w:p>
        </w:tc>
      </w:tr>
      <w:tr>
        <w:tc>
          <w:tcPr>
            <w:tcW w:type="dxa" w:w="3118"/>
            <w:shd w:val="clear" w:color="auto" w:fill="1C3D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Garantie</w:t>
            </w:r>
          </w:p>
        </w:tc>
        <w:tc>
          <w:tcPr>
            <w:tcW w:type="dxa" w:w="1871"/>
            <w:shd w:val="clear" w:color="auto" w:fill="F0F7F2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1 mois</w:t>
            </w:r>
          </w:p>
        </w:tc>
        <w:tc>
          <w:tcPr>
            <w:tcW w:type="dxa" w:w="1871"/>
            <w:shd w:val="clear" w:color="auto" w:fill="F0F7F2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1 mois</w:t>
            </w:r>
          </w:p>
        </w:tc>
        <w:tc>
          <w:tcPr>
            <w:tcW w:type="dxa" w:w="1928"/>
            <w:shd w:val="clear" w:color="auto" w:fill="FFF8E1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404040"/>
                <w:sz w:val="18"/>
              </w:rPr>
              <w:t>2 mois</w:t>
            </w:r>
          </w:p>
        </w:tc>
      </w:tr>
      <w:tr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Site vitrine public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</w:t>
            </w:r>
          </w:p>
        </w:tc>
        <w:tc>
          <w:tcPr>
            <w:tcW w:type="dxa" w:w="1928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Espace client &amp; fidélité</w:t>
            </w:r>
          </w:p>
        </w:tc>
        <w:tc>
          <w:tcPr>
            <w:tcW w:type="dxa" w:w="1871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  <w:tc>
          <w:tcPr>
            <w:tcW w:type="dxa" w:w="1871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</w:t>
            </w:r>
          </w:p>
        </w:tc>
        <w:tc>
          <w:tcPr>
            <w:tcW w:type="dxa" w:w="1928"/>
            <w:shd w:val="clear" w:color="auto" w:fill="FFF9C4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Enregistrement commandes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  <w:tc>
          <w:tcPr>
            <w:tcW w:type="dxa" w:w="1928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Traitement lots</w:t>
            </w:r>
          </w:p>
        </w:tc>
        <w:tc>
          <w:tcPr>
            <w:tcW w:type="dxa" w:w="1871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</w:t>
            </w:r>
          </w:p>
        </w:tc>
        <w:tc>
          <w:tcPr>
            <w:tcW w:type="dxa" w:w="1871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  <w:tc>
          <w:tcPr>
            <w:tcW w:type="dxa" w:w="1928"/>
            <w:shd w:val="clear" w:color="auto" w:fill="FFF9C4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Paiements &amp; remises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  <w:tc>
          <w:tcPr>
            <w:tcW w:type="dxa" w:w="1928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Dashboard &amp; rapports</w:t>
            </w:r>
          </w:p>
        </w:tc>
        <w:tc>
          <w:tcPr>
            <w:tcW w:type="dxa" w:w="1871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</w:t>
            </w:r>
          </w:p>
        </w:tc>
        <w:tc>
          <w:tcPr>
            <w:tcW w:type="dxa" w:w="1871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  <w:tc>
          <w:tcPr>
            <w:tcW w:type="dxa" w:w="1928"/>
            <w:shd w:val="clear" w:color="auto" w:fill="FFF9C4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Fidélité automatique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 (manuell)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</w:t>
            </w:r>
          </w:p>
        </w:tc>
        <w:tc>
          <w:tcPr>
            <w:tcW w:type="dxa" w:w="1928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Notifications email</w:t>
            </w:r>
          </w:p>
        </w:tc>
        <w:tc>
          <w:tcPr>
            <w:tcW w:type="dxa" w:w="1871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</w:t>
            </w:r>
          </w:p>
        </w:tc>
        <w:tc>
          <w:tcPr>
            <w:tcW w:type="dxa" w:w="1871"/>
            <w:shd w:val="clear" w:color="auto" w:fill="F9F9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</w:t>
            </w:r>
          </w:p>
        </w:tc>
        <w:tc>
          <w:tcPr>
            <w:tcW w:type="dxa" w:w="1928"/>
            <w:shd w:val="clear" w:color="auto" w:fill="FFF9C4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  <w:tr>
        <w:tc>
          <w:tcPr>
            <w:tcW w:type="dxa" w:w="3118"/>
            <w:shd w:val="clear" w:color="auto" w:fill="F0F7F2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Synchro statuts temps réel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❌</w:t>
            </w:r>
          </w:p>
        </w:tc>
        <w:tc>
          <w:tcPr>
            <w:tcW w:type="dxa" w:w="1928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✅</w:t>
            </w:r>
          </w:p>
        </w:tc>
      </w:tr>
    </w:tbl>
    <w:p/>
    <w:p>
      <w:pPr>
        <w:spacing w:before="120" w:after="40"/>
        <w:jc w:val="left"/>
        <w:pBdr>
          <w:bottom w:val="single" w:sz="4" w:space="1" w:color="C9A020"/>
        </w:pBdr>
      </w:pPr>
      <w:r>
        <w:rPr>
          <w:rFonts w:ascii="Calibri" w:hAnsi="Calibri"/>
          <w:b/>
          <w:color w:val="1C3D2A"/>
          <w:sz w:val="22"/>
        </w:rPr>
        <w:t>Conditions générales</w:t>
      </w:r>
    </w:p>
    <w:p>
      <w:pPr>
        <w:pStyle w:val="ListBullet"/>
        <w:spacing w:before="20" w:after="20"/>
        <w:jc w:val="left"/>
      </w:pPr>
      <w:r>
        <w:rPr>
          <w:rFonts w:ascii="Calibri" w:hAnsi="Calibri"/>
          <w:b w:val="0"/>
          <w:i w:val="0"/>
          <w:color w:val="404040"/>
          <w:sz w:val="18"/>
        </w:rPr>
        <w:t>Les maquettes HTML/CSS (25 pages) et la documentation fonctionnelle complète sont considérées comme livrées et validées — elles constituent la base de travail de ce devis.</w:t>
      </w:r>
    </w:p>
    <w:p>
      <w:pPr>
        <w:pStyle w:val="ListBullet"/>
        <w:spacing w:before="20" w:after="20"/>
        <w:jc w:val="left"/>
      </w:pPr>
      <w:r>
        <w:rPr>
          <w:rFonts w:ascii="Calibri" w:hAnsi="Calibri"/>
          <w:b w:val="0"/>
          <w:i w:val="0"/>
          <w:color w:val="404040"/>
          <w:sz w:val="18"/>
        </w:rPr>
        <w:t>Toute modification du périmètre fonctionnel en cours de développement fera l'objet d'un avenant tarifé et signé.</w:t>
      </w:r>
    </w:p>
    <w:p>
      <w:pPr>
        <w:pStyle w:val="ListBullet"/>
        <w:spacing w:before="20" w:after="20"/>
        <w:jc w:val="left"/>
      </w:pPr>
      <w:r>
        <w:rPr>
          <w:rFonts w:ascii="Calibri" w:hAnsi="Calibri"/>
          <w:b w:val="0"/>
          <w:i w:val="0"/>
          <w:color w:val="404040"/>
          <w:sz w:val="18"/>
        </w:rPr>
        <w:t>Une session de formation utilisateur (2h) est incluse dans chaque devis.</w:t>
      </w:r>
    </w:p>
    <w:p>
      <w:pPr>
        <w:pStyle w:val="ListBullet"/>
        <w:spacing w:before="20" w:after="20"/>
        <w:jc w:val="left"/>
      </w:pPr>
      <w:r>
        <w:rPr>
          <w:rFonts w:ascii="Calibri" w:hAnsi="Calibri"/>
          <w:b w:val="0"/>
          <w:i w:val="0"/>
          <w:color w:val="404040"/>
          <w:sz w:val="18"/>
        </w:rPr>
        <w:t>Hébergement, nom de domaine et serveur de messagerie : non inclus.</w:t>
      </w:r>
    </w:p>
    <w:p>
      <w:pPr>
        <w:pStyle w:val="ListBullet"/>
        <w:spacing w:before="20" w:after="20"/>
        <w:jc w:val="left"/>
      </w:pPr>
      <w:r>
        <w:rPr>
          <w:rFonts w:ascii="Calibri" w:hAnsi="Calibri"/>
          <w:b w:val="0"/>
          <w:i w:val="0"/>
          <w:color w:val="404040"/>
          <w:sz w:val="18"/>
        </w:rPr>
        <w:t>Validité du devis : 30 jours à compter du 14 Avril 2026.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252"/>
            <w:shd w:val="clear" w:color="auto" w:fill="F2F2F2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Le Prestataire</w:t>
              <w:br/>
              <w:br/>
              <w:br/>
              <w:br/>
              <w:t>Signature &amp; Cachet</w:t>
            </w:r>
          </w:p>
        </w:tc>
        <w:tc>
          <w:tcPr>
            <w:tcW w:type="dxa" w:w="4252"/>
            <w:shd w:val="clear" w:color="auto" w:fill="F2F2F2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 w:val="0"/>
                <w:i w:val="0"/>
                <w:color w:val="404040"/>
                <w:sz w:val="18"/>
              </w:rPr>
              <w:t>Le Client — Élégance Pressing</w:t>
              <w:br/>
              <w:br/>
              <w:br/>
              <w:br/>
              <w:t>Signature &amp; Cachet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