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F1FE1">
      <w:pPr>
        <w:pStyle w:val="6"/>
        <w:spacing w:before="9"/>
        <w:jc w:val="both"/>
        <w:rPr>
          <w:rFonts w:ascii="Times New Roman" w:hAnsi="Times New Roman" w:cs="Times New Roman"/>
          <w:b w:val="0"/>
          <w:bCs w:val="0"/>
        </w:rPr>
      </w:pPr>
      <w:r>
        <w:rPr>
          <w:rFonts w:ascii="Times New Roman" w:hAnsi="Times New Roman" w:cs="Times New Roman"/>
          <w:color w:val="000000"/>
        </w:rPr>
        <w:tab/>
      </w:r>
      <w:r>
        <w:rPr>
          <w:rFonts w:ascii="Times New Roman" w:hAnsi="Times New Roman" w:cs="Times New Roman"/>
          <w:color w:val="000000"/>
        </w:rPr>
        <w:t xml:space="preserve">                                  </w:t>
      </w:r>
      <w:r>
        <w:rPr>
          <w:rFonts w:ascii="Times New Roman" w:hAnsi="Times New Roman" w:cs="Times New Roman"/>
          <w:color w:val="000000"/>
        </w:rPr>
        <w:tab/>
      </w:r>
      <w:r>
        <w:rPr>
          <w:rFonts w:ascii="Times New Roman" w:hAnsi="Times New Roman" w:cs="Times New Roman"/>
          <w:color w:val="000000"/>
        </w:rPr>
        <w:t xml:space="preserve">        </w:t>
      </w:r>
      <w:r>
        <w:rPr>
          <w:rFonts w:hint="default" w:ascii="Georgia" w:hAnsi="Georgia" w:eastAsia="Georgia"/>
          <w:b/>
          <w:bCs/>
          <w:sz w:val="20"/>
          <w:szCs w:val="20"/>
        </w:rPr>
        <w:t>SURVEYING AND MATERIAL HANDLING</w:t>
      </w:r>
      <w:r>
        <w:rPr>
          <w:rStyle w:val="11"/>
          <w:b/>
          <w:bCs/>
          <w:lang w:eastAsia="en-IN"/>
        </w:rPr>
        <w:t xml:space="preserve">                             </w:t>
      </w:r>
    </w:p>
    <w:p w14:paraId="0C26D0E9">
      <w:pPr>
        <w:pStyle w:val="6"/>
        <w:spacing w:before="9"/>
        <w:jc w:val="both"/>
        <w:rPr>
          <w:rFonts w:ascii="Times New Roman" w:hAnsi="Times New Roman" w:cs="Times New Roman"/>
        </w:rPr>
      </w:pPr>
    </w:p>
    <w:p w14:paraId="101891AF">
      <w:pPr>
        <w:spacing w:line="240" w:lineRule="auto"/>
        <w:ind w:left="284" w:hanging="284"/>
        <w:rPr>
          <w:rFonts w:hint="default" w:ascii="Times New Roman" w:hAnsi="Times New Roman" w:cs="Times New Roman"/>
          <w:b/>
          <w:sz w:val="24"/>
          <w:szCs w:val="24"/>
          <w:lang w:val="en-US"/>
        </w:rPr>
      </w:pPr>
      <w:r>
        <w:rPr>
          <w:rFonts w:ascii="Times New Roman" w:hAnsi="Times New Roman" w:cs="Times New Roman"/>
          <w:b/>
          <w:sz w:val="24"/>
          <w:szCs w:val="24"/>
          <w:lang w:val="en-US"/>
        </w:rPr>
        <w:t xml:space="preserve">Course Code: </w:t>
      </w:r>
      <w:r>
        <w:rPr>
          <w:rFonts w:ascii="Times New Roman" w:hAnsi="Times New Roman" w:cs="Times New Roman"/>
          <w:color w:val="000000"/>
        </w:rPr>
        <w:t>XCT100</w:t>
      </w:r>
      <w:r>
        <w:rPr>
          <w:rFonts w:hint="default" w:ascii="Times New Roman" w:hAnsi="Times New Roman" w:cs="Times New Roman"/>
          <w:color w:val="000000"/>
          <w:lang w:val="en-US"/>
        </w:rPr>
        <w:t>6</w:t>
      </w:r>
    </w:p>
    <w:p w14:paraId="1999AF68">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Credit: 4</w:t>
      </w:r>
    </w:p>
    <w:p w14:paraId="37EAF18A">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L-T-P: 3-1-0</w:t>
      </w:r>
    </w:p>
    <w:p w14:paraId="481E8B66">
      <w:pPr>
        <w:spacing w:line="240" w:lineRule="auto"/>
        <w:ind w:left="284" w:hanging="284"/>
        <w:rPr>
          <w:rFonts w:ascii="Times New Roman" w:hAnsi="Times New Roman" w:cs="Times New Roman"/>
          <w:b/>
          <w:sz w:val="24"/>
          <w:szCs w:val="24"/>
          <w:lang w:val="en-US"/>
        </w:rPr>
      </w:pPr>
      <w:r>
        <w:rPr>
          <w:rFonts w:ascii="Times New Roman" w:hAnsi="Times New Roman" w:cs="Times New Roman"/>
          <w:b/>
          <w:sz w:val="24"/>
          <w:szCs w:val="24"/>
          <w:lang w:val="en-US"/>
        </w:rPr>
        <w:t>Prerequisite: Nil</w:t>
      </w:r>
    </w:p>
    <w:p w14:paraId="6D3763D8">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COURSE OBJECTIVE:</w:t>
      </w:r>
    </w:p>
    <w:p w14:paraId="50FEAF4C">
      <w:pPr>
        <w:spacing w:line="360" w:lineRule="auto"/>
        <w:jc w:val="both"/>
      </w:pPr>
      <w:r>
        <w:rPr>
          <w:rFonts w:hint="default"/>
        </w:rPr>
        <w:t>The objective of this course is to introduce advanced surveying techniques such as EDM, Total Station, GPS, LiDAR, and Photogrammetry and highlight their applications in engineering works, including power transmission and distribution projects. It also aims to provide knowledge of material handling equipment, covering their types, selection criteria, and industrial applications, while developing an understanding of planning and designing material handling systems. In addition, the course emphasizes safety practices in both manual and mechanical material handling and enables students to integrate the concepts of surveying and material handling for practical, field-based engineering solutions</w:t>
      </w:r>
      <w:r>
        <w:t>.</w:t>
      </w:r>
    </w:p>
    <w:p w14:paraId="18CEB630">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COURSE OUTCOMES: </w:t>
      </w:r>
    </w:p>
    <w:p w14:paraId="482929C6">
      <w:pPr>
        <w:spacing w:line="240" w:lineRule="auto"/>
        <w:ind w:left="284" w:hanging="284"/>
        <w:jc w:val="both"/>
        <w:rPr>
          <w:rFonts w:cstheme="minorHAnsi"/>
        </w:rPr>
      </w:pPr>
      <w:r>
        <w:rPr>
          <w:rFonts w:cstheme="minorHAnsi"/>
        </w:rPr>
        <w:t>At the end of the course, students will be able to:</w:t>
      </w:r>
    </w:p>
    <w:p w14:paraId="6E34746F">
      <w:pPr>
        <w:tabs>
          <w:tab w:val="left" w:pos="709"/>
        </w:tabs>
        <w:autoSpaceDE w:val="0"/>
        <w:autoSpaceDN w:val="0"/>
        <w:adjustRightInd w:val="0"/>
        <w:spacing w:after="0" w:line="240" w:lineRule="auto"/>
        <w:ind w:left="709" w:hanging="567"/>
        <w:jc w:val="both"/>
        <w:rPr>
          <w:rFonts w:hint="default" w:eastAsia="Calibri" w:cstheme="minorHAnsi"/>
          <w:color w:val="000000"/>
          <w:lang w:val="en-US"/>
        </w:rPr>
      </w:pPr>
      <w:r>
        <w:rPr>
          <w:rFonts w:eastAsia="Calibri" w:cstheme="minorHAnsi"/>
          <w:b/>
          <w:bCs/>
          <w:color w:val="000000"/>
        </w:rPr>
        <w:t xml:space="preserve">CO-1: </w:t>
      </w:r>
      <w:r>
        <w:rPr>
          <w:rFonts w:hint="default" w:eastAsia="Calibri"/>
          <w:color w:val="000000"/>
        </w:rPr>
        <w:t>Explain the principles and working of advanced surveying instruments such as EDM, Total Station, GPS, LiDAR, and Photogrammetry.</w:t>
      </w:r>
    </w:p>
    <w:p w14:paraId="6D63A88E">
      <w:pPr>
        <w:autoSpaceDE w:val="0"/>
        <w:autoSpaceDN w:val="0"/>
        <w:adjustRightInd w:val="0"/>
        <w:spacing w:after="0" w:line="240" w:lineRule="auto"/>
        <w:jc w:val="both"/>
        <w:rPr>
          <w:rFonts w:eastAsia="Calibri" w:cstheme="minorHAnsi"/>
          <w:color w:val="000000"/>
        </w:rPr>
      </w:pPr>
    </w:p>
    <w:p w14:paraId="23462E86">
      <w:pPr>
        <w:autoSpaceDE w:val="0"/>
        <w:autoSpaceDN w:val="0"/>
        <w:adjustRightInd w:val="0"/>
        <w:spacing w:after="0" w:line="240" w:lineRule="auto"/>
        <w:ind w:left="709" w:hanging="567"/>
        <w:jc w:val="both"/>
        <w:rPr>
          <w:rFonts w:eastAsia="Calibri" w:cstheme="minorHAnsi"/>
          <w:color w:val="000000"/>
        </w:rPr>
      </w:pPr>
      <w:r>
        <w:rPr>
          <w:rFonts w:eastAsia="Calibri" w:cstheme="minorHAnsi"/>
          <w:b/>
          <w:bCs/>
          <w:color w:val="000000"/>
        </w:rPr>
        <w:t>CO-2:</w:t>
      </w:r>
      <w:r>
        <w:rPr>
          <w:rFonts w:eastAsia="Calibri" w:cstheme="minorHAnsi"/>
          <w:color w:val="000000"/>
        </w:rPr>
        <w:t xml:space="preserve"> </w:t>
      </w:r>
      <w:r>
        <w:rPr>
          <w:rFonts w:hint="default" w:eastAsia="Calibri"/>
          <w:color w:val="000000"/>
        </w:rPr>
        <w:t>Apply modern surveying techniques to collect, analyze, and interpret spatial data for engineering and infrastructure projects.</w:t>
      </w:r>
    </w:p>
    <w:p w14:paraId="5673838D">
      <w:pPr>
        <w:autoSpaceDE w:val="0"/>
        <w:autoSpaceDN w:val="0"/>
        <w:adjustRightInd w:val="0"/>
        <w:spacing w:after="0" w:line="240" w:lineRule="auto"/>
        <w:jc w:val="both"/>
        <w:rPr>
          <w:rFonts w:eastAsia="Calibri" w:cstheme="minorHAnsi"/>
          <w:color w:val="000000"/>
        </w:rPr>
      </w:pPr>
      <w:r>
        <w:rPr>
          <w:rFonts w:eastAsia="Calibri" w:cstheme="minorHAnsi"/>
          <w:color w:val="000000"/>
        </w:rPr>
        <w:t xml:space="preserve"> </w:t>
      </w:r>
    </w:p>
    <w:p w14:paraId="46AD160F">
      <w:pPr>
        <w:autoSpaceDE w:val="0"/>
        <w:autoSpaceDN w:val="0"/>
        <w:adjustRightInd w:val="0"/>
        <w:spacing w:after="0" w:line="240" w:lineRule="auto"/>
        <w:ind w:firstLine="142"/>
        <w:jc w:val="both"/>
        <w:rPr>
          <w:rFonts w:eastAsia="Calibri" w:cstheme="minorHAnsi"/>
          <w:color w:val="000000"/>
        </w:rPr>
      </w:pPr>
      <w:r>
        <w:rPr>
          <w:rFonts w:eastAsia="Calibri" w:cstheme="minorHAnsi"/>
          <w:b/>
          <w:bCs/>
          <w:color w:val="000000"/>
        </w:rPr>
        <w:t>CO-3:</w:t>
      </w:r>
      <w:r>
        <w:rPr>
          <w:rFonts w:eastAsia="Calibri" w:cstheme="minorHAnsi"/>
          <w:color w:val="000000"/>
        </w:rPr>
        <w:t xml:space="preserve"> </w:t>
      </w:r>
      <w:r>
        <w:rPr>
          <w:rFonts w:hint="default" w:eastAsia="Calibri"/>
          <w:color w:val="000000"/>
        </w:rPr>
        <w:t xml:space="preserve">Apply advanced surveying methods in the planning and execution of power transmission and distribution </w:t>
      </w:r>
      <w:r>
        <w:rPr>
          <w:rFonts w:hint="default" w:eastAsia="Calibri"/>
          <w:color w:val="000000"/>
          <w:lang w:val="en-US"/>
        </w:rPr>
        <w:tab/>
      </w:r>
      <w:r>
        <w:rPr>
          <w:rFonts w:hint="default" w:eastAsia="Calibri"/>
          <w:color w:val="000000"/>
        </w:rPr>
        <w:t>projects</w:t>
      </w:r>
    </w:p>
    <w:p w14:paraId="664BEA68">
      <w:pPr>
        <w:autoSpaceDE w:val="0"/>
        <w:autoSpaceDN w:val="0"/>
        <w:adjustRightInd w:val="0"/>
        <w:spacing w:after="0" w:line="240" w:lineRule="auto"/>
        <w:jc w:val="both"/>
        <w:rPr>
          <w:rFonts w:eastAsia="Calibri" w:cstheme="minorHAnsi"/>
          <w:color w:val="000000"/>
        </w:rPr>
      </w:pPr>
      <w:r>
        <w:rPr>
          <w:rFonts w:eastAsia="Calibri" w:cstheme="minorHAnsi"/>
          <w:color w:val="000000"/>
        </w:rPr>
        <w:t xml:space="preserve"> </w:t>
      </w:r>
    </w:p>
    <w:p w14:paraId="096C80FC">
      <w:pPr>
        <w:autoSpaceDE w:val="0"/>
        <w:autoSpaceDN w:val="0"/>
        <w:adjustRightInd w:val="0"/>
        <w:spacing w:after="0" w:line="240" w:lineRule="auto"/>
        <w:ind w:left="709" w:hanging="567"/>
        <w:jc w:val="both"/>
        <w:rPr>
          <w:rFonts w:hint="default" w:eastAsia="Calibri" w:cstheme="minorHAnsi"/>
          <w:color w:val="000000"/>
          <w:lang w:val="en-US"/>
        </w:rPr>
      </w:pPr>
      <w:r>
        <w:rPr>
          <w:rFonts w:eastAsia="Calibri" w:cstheme="minorHAnsi"/>
          <w:b/>
          <w:bCs/>
          <w:color w:val="000000"/>
        </w:rPr>
        <w:t xml:space="preserve">CO-4: </w:t>
      </w:r>
      <w:r>
        <w:rPr>
          <w:rFonts w:hint="default" w:eastAsia="Calibri" w:cstheme="minorHAnsi"/>
          <w:b/>
          <w:bCs/>
          <w:color w:val="000000"/>
          <w:lang w:val="en-US"/>
        </w:rPr>
        <w:t xml:space="preserve"> </w:t>
      </w:r>
      <w:r>
        <w:rPr>
          <w:rFonts w:hint="default" w:eastAsia="Calibri" w:cstheme="minorHAnsi"/>
          <w:b w:val="0"/>
          <w:bCs w:val="0"/>
          <w:color w:val="000000"/>
          <w:lang w:val="en-US"/>
        </w:rPr>
        <w:t>I</w:t>
      </w:r>
      <w:r>
        <w:rPr>
          <w:rFonts w:hint="default" w:eastAsia="Calibri"/>
          <w:b w:val="0"/>
          <w:bCs w:val="0"/>
          <w:color w:val="000000"/>
          <w:lang w:val="en-US"/>
        </w:rPr>
        <w:t>dentify different types of material handling equipment and select suitable material handling systems based on operational requirements.</w:t>
      </w:r>
    </w:p>
    <w:p w14:paraId="229CF7ED">
      <w:pPr>
        <w:autoSpaceDE w:val="0"/>
        <w:autoSpaceDN w:val="0"/>
        <w:adjustRightInd w:val="0"/>
        <w:spacing w:after="0" w:line="240" w:lineRule="auto"/>
        <w:jc w:val="both"/>
        <w:rPr>
          <w:rFonts w:eastAsia="Calibri" w:cstheme="minorHAnsi"/>
          <w:color w:val="000000"/>
        </w:rPr>
      </w:pPr>
      <w:r>
        <w:rPr>
          <w:rFonts w:eastAsia="Calibri" w:cstheme="minorHAnsi"/>
          <w:color w:val="000000"/>
        </w:rPr>
        <w:t xml:space="preserve"> </w:t>
      </w:r>
    </w:p>
    <w:p w14:paraId="7ADFF14C">
      <w:pPr>
        <w:autoSpaceDE w:val="0"/>
        <w:autoSpaceDN w:val="0"/>
        <w:adjustRightInd w:val="0"/>
        <w:spacing w:after="0" w:line="240" w:lineRule="auto"/>
        <w:ind w:left="709" w:hanging="567"/>
        <w:jc w:val="both"/>
        <w:rPr>
          <w:rFonts w:eastAsia="Calibri" w:cstheme="minorHAnsi"/>
          <w:color w:val="000000"/>
        </w:rPr>
      </w:pPr>
      <w:r>
        <w:rPr>
          <w:rFonts w:eastAsia="Calibri" w:cstheme="minorHAnsi"/>
          <w:b/>
          <w:bCs/>
          <w:color w:val="000000"/>
        </w:rPr>
        <w:t>CO-5:</w:t>
      </w:r>
      <w:r>
        <w:rPr>
          <w:rFonts w:eastAsia="Calibri" w:cstheme="minorHAnsi"/>
          <w:color w:val="000000"/>
        </w:rPr>
        <w:t xml:space="preserve">  </w:t>
      </w:r>
      <w:r>
        <w:rPr>
          <w:rFonts w:hint="default" w:eastAsia="Calibri"/>
          <w:color w:val="000000"/>
        </w:rPr>
        <w:t>Develop a basic plan/design for material handling systems, considering efficiency and ergonomics.</w:t>
      </w:r>
    </w:p>
    <w:p w14:paraId="7C38E545">
      <w:pPr>
        <w:autoSpaceDE w:val="0"/>
        <w:autoSpaceDN w:val="0"/>
        <w:adjustRightInd w:val="0"/>
        <w:spacing w:after="0" w:line="240" w:lineRule="auto"/>
        <w:jc w:val="both"/>
        <w:rPr>
          <w:rFonts w:eastAsia="Calibri" w:cstheme="minorHAnsi"/>
          <w:color w:val="000000"/>
        </w:rPr>
      </w:pPr>
      <w:r>
        <w:rPr>
          <w:rFonts w:eastAsia="Calibri" w:cstheme="minorHAnsi"/>
          <w:color w:val="000000"/>
        </w:rPr>
        <w:t xml:space="preserve"> </w:t>
      </w:r>
    </w:p>
    <w:p w14:paraId="2DC0813A">
      <w:pPr>
        <w:autoSpaceDE w:val="0"/>
        <w:autoSpaceDN w:val="0"/>
        <w:adjustRightInd w:val="0"/>
        <w:spacing w:after="0" w:line="240" w:lineRule="auto"/>
        <w:ind w:left="709" w:hanging="567"/>
        <w:jc w:val="both"/>
        <w:rPr>
          <w:rFonts w:eastAsia="Calibri" w:cstheme="minorHAnsi"/>
          <w:color w:val="000000"/>
        </w:rPr>
      </w:pPr>
      <w:r>
        <w:rPr>
          <w:rFonts w:eastAsia="Calibri" w:cstheme="minorHAnsi"/>
          <w:b/>
          <w:bCs/>
          <w:color w:val="000000"/>
        </w:rPr>
        <w:t xml:space="preserve">CO-6: </w:t>
      </w:r>
      <w:r>
        <w:rPr>
          <w:rFonts w:hint="default" w:eastAsia="Calibri"/>
          <w:color w:val="000000"/>
        </w:rPr>
        <w:t>Demonstrate awareness of safety standards and best practices in manual and mechanical material handling.</w:t>
      </w:r>
    </w:p>
    <w:p w14:paraId="3ECECAD2">
      <w:pPr>
        <w:autoSpaceDE w:val="0"/>
        <w:autoSpaceDN w:val="0"/>
        <w:adjustRightInd w:val="0"/>
        <w:jc w:val="both"/>
        <w:rPr>
          <w:rFonts w:cstheme="minorHAnsi"/>
          <w:b/>
          <w:bCs/>
          <w:color w:val="000000"/>
        </w:rPr>
      </w:pPr>
    </w:p>
    <w:p w14:paraId="4D2A5CF8">
      <w:pPr>
        <w:autoSpaceDE w:val="0"/>
        <w:autoSpaceDN w:val="0"/>
        <w:adjustRightInd w:val="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COURSE DETAILS</w:t>
      </w:r>
    </w:p>
    <w:p w14:paraId="6D3D7A32">
      <w:pPr>
        <w:spacing w:before="240" w:after="0"/>
        <w:jc w:val="both"/>
        <w:rPr>
          <w:rFonts w:eastAsia="Calibri" w:cstheme="minorHAnsi"/>
          <w:b/>
          <w:spacing w:val="-1"/>
        </w:rPr>
      </w:pPr>
      <w:r>
        <w:rPr>
          <w:rFonts w:hint="default" w:eastAsia="Calibri"/>
          <w:b/>
          <w:bCs/>
        </w:rPr>
        <w:t>Advanced Surveying – EDM and Total Station</w:t>
      </w:r>
      <w:r>
        <w:rPr>
          <w:rFonts w:eastAsia="Calibri" w:cstheme="minorHAnsi"/>
          <w:b/>
          <w:spacing w:val="-1"/>
        </w:rPr>
        <w:t>:</w:t>
      </w:r>
    </w:p>
    <w:p w14:paraId="4BA8D79B">
      <w:pPr>
        <w:spacing w:after="0"/>
        <w:jc w:val="both"/>
        <w:rPr>
          <w:rFonts w:hint="default" w:asciiTheme="minorHAnsi" w:hAnsiTheme="minorHAnsi"/>
          <w:spacing w:val="-1"/>
        </w:rPr>
      </w:pPr>
      <w:r>
        <w:rPr>
          <w:rFonts w:hint="default" w:asciiTheme="minorHAnsi" w:hAnsiTheme="minorHAnsi"/>
          <w:spacing w:val="-1"/>
        </w:rPr>
        <w:t>Principles of Electronic Distance Measurement (EDM).Types of EDM instruments, applications, and sources of error.</w:t>
      </w:r>
    </w:p>
    <w:p w14:paraId="36FD8260">
      <w:pPr>
        <w:spacing w:after="0"/>
        <w:jc w:val="both"/>
        <w:rPr>
          <w:rFonts w:hint="default" w:asciiTheme="minorHAnsi" w:hAnsiTheme="minorHAnsi"/>
          <w:spacing w:val="-1"/>
        </w:rPr>
      </w:pPr>
      <w:r>
        <w:rPr>
          <w:rFonts w:hint="default" w:asciiTheme="minorHAnsi" w:hAnsiTheme="minorHAnsi"/>
          <w:spacing w:val="-1"/>
        </w:rPr>
        <w:t>Total Station – components, working principle, field procedure, data recording, and reduction.</w:t>
      </w:r>
      <w:r>
        <w:rPr>
          <w:rFonts w:hint="default"/>
          <w:spacing w:val="-1"/>
          <w:lang w:val="en-US"/>
        </w:rPr>
        <w:t xml:space="preserve"> </w:t>
      </w:r>
      <w:r>
        <w:rPr>
          <w:rFonts w:hint="default" w:asciiTheme="minorHAnsi" w:hAnsiTheme="minorHAnsi"/>
          <w:spacing w:val="-1"/>
        </w:rPr>
        <w:t>Applications of Total Station in topographic mapping, construction projects, and infrastructure development.</w:t>
      </w:r>
    </w:p>
    <w:p w14:paraId="04C8F2AF">
      <w:pPr>
        <w:spacing w:after="0"/>
        <w:jc w:val="both"/>
        <w:rPr>
          <w:rFonts w:hint="default" w:eastAsia="Calibri"/>
          <w:b/>
          <w:bCs/>
          <w:spacing w:val="1"/>
        </w:rPr>
      </w:pPr>
    </w:p>
    <w:p w14:paraId="31A9EEEB">
      <w:pPr>
        <w:spacing w:after="0"/>
        <w:jc w:val="both"/>
        <w:rPr>
          <w:rFonts w:cstheme="minorHAnsi"/>
          <w:spacing w:val="1"/>
        </w:rPr>
      </w:pPr>
      <w:r>
        <w:rPr>
          <w:rFonts w:hint="default" w:eastAsia="Calibri"/>
          <w:b/>
          <w:bCs/>
          <w:spacing w:val="1"/>
        </w:rPr>
        <w:t>Advanced Surveying – GPS, LiDAR, and Photogrammetry</w:t>
      </w:r>
      <w:r>
        <w:rPr>
          <w:rFonts w:eastAsia="Calibri" w:cstheme="minorHAnsi"/>
          <w:b/>
          <w:bCs/>
          <w:spacing w:val="1"/>
        </w:rPr>
        <w:t>:</w:t>
      </w:r>
    </w:p>
    <w:p w14:paraId="3EB9CE06">
      <w:pPr>
        <w:pStyle w:val="12"/>
        <w:spacing w:before="0" w:beforeAutospacing="0" w:line="276" w:lineRule="auto"/>
        <w:jc w:val="both"/>
        <w:rPr>
          <w:rFonts w:hint="default" w:asciiTheme="minorHAnsi" w:hAnsiTheme="minorHAnsi"/>
          <w:spacing w:val="1"/>
        </w:rPr>
      </w:pPr>
      <w:r>
        <w:rPr>
          <w:rFonts w:hint="default" w:asciiTheme="minorHAnsi" w:hAnsiTheme="minorHAnsi"/>
          <w:spacing w:val="1"/>
        </w:rPr>
        <w:t>Global Positioning System (GPS): principles, segments, data collection methods, accuracy, and integration with GIS.</w:t>
      </w:r>
    </w:p>
    <w:p w14:paraId="41ABD31E">
      <w:pPr>
        <w:pStyle w:val="12"/>
        <w:spacing w:before="0" w:beforeAutospacing="0" w:line="276" w:lineRule="auto"/>
        <w:jc w:val="both"/>
        <w:rPr>
          <w:rFonts w:asciiTheme="minorHAnsi" w:hAnsiTheme="minorHAnsi" w:cstheme="minorHAnsi"/>
          <w:spacing w:val="-1"/>
        </w:rPr>
      </w:pPr>
      <w:r>
        <w:rPr>
          <w:rFonts w:hint="default" w:asciiTheme="minorHAnsi" w:hAnsiTheme="minorHAnsi"/>
          <w:spacing w:val="1"/>
        </w:rPr>
        <w:t>LiDAR Surveying: working principle, airborne vs. terrestrial LiDAR, data acquisition, processing, and applications in</w:t>
      </w:r>
      <w:r>
        <w:rPr>
          <w:rFonts w:hint="default" w:asciiTheme="minorHAnsi" w:hAnsiTheme="minorHAnsi"/>
          <w:spacing w:val="1"/>
          <w:lang w:val="en-US"/>
        </w:rPr>
        <w:t xml:space="preserve"> </w:t>
      </w:r>
      <w:r>
        <w:rPr>
          <w:rFonts w:hint="default" w:asciiTheme="minorHAnsi" w:hAnsiTheme="minorHAnsi"/>
          <w:spacing w:val="1"/>
        </w:rPr>
        <w:t>civil engineering.</w:t>
      </w:r>
      <w:r>
        <w:rPr>
          <w:rFonts w:hint="default" w:asciiTheme="minorHAnsi" w:hAnsiTheme="minorHAnsi"/>
          <w:spacing w:val="1"/>
          <w:lang w:val="en-US"/>
        </w:rPr>
        <w:t xml:space="preserve"> </w:t>
      </w:r>
      <w:r>
        <w:rPr>
          <w:rFonts w:hint="default" w:asciiTheme="minorHAnsi" w:hAnsiTheme="minorHAnsi"/>
          <w:spacing w:val="1"/>
        </w:rPr>
        <w:t>Photogrammetry: aerial and terrestrial photogrammetry, stereoscopy, generation of DEM/DTM, and engineering applications.</w:t>
      </w:r>
    </w:p>
    <w:p w14:paraId="77CEEA61">
      <w:pPr>
        <w:pStyle w:val="12"/>
        <w:spacing w:before="0" w:beforeAutospacing="0" w:line="276" w:lineRule="auto"/>
        <w:jc w:val="both"/>
        <w:rPr>
          <w:rFonts w:asciiTheme="minorHAnsi" w:hAnsiTheme="minorHAnsi" w:cstheme="minorHAnsi"/>
          <w:spacing w:val="-1"/>
        </w:rPr>
      </w:pPr>
    </w:p>
    <w:p w14:paraId="58028C30">
      <w:pPr>
        <w:pStyle w:val="12"/>
        <w:spacing w:before="0" w:beforeAutospacing="0" w:line="276" w:lineRule="auto"/>
        <w:jc w:val="both"/>
        <w:rPr>
          <w:rFonts w:eastAsia="Calibri" w:asciiTheme="minorHAnsi" w:hAnsiTheme="minorHAnsi" w:cstheme="minorHAnsi"/>
          <w:b/>
        </w:rPr>
      </w:pPr>
      <w:r>
        <w:rPr>
          <w:rFonts w:hint="default" w:eastAsia="Calibri" w:asciiTheme="minorHAnsi" w:hAnsiTheme="minorHAnsi"/>
          <w:b/>
          <w:bCs/>
          <w:lang w:val="en-US"/>
        </w:rPr>
        <w:t>Surveying for Power Transmission &amp; Distribution Projects</w:t>
      </w:r>
      <w:r>
        <w:rPr>
          <w:rFonts w:eastAsia="Calibri" w:asciiTheme="minorHAnsi" w:hAnsiTheme="minorHAnsi" w:cstheme="minorHAnsi"/>
          <w:b/>
        </w:rPr>
        <w:t>:</w:t>
      </w:r>
    </w:p>
    <w:p w14:paraId="548EC8B9">
      <w:pPr>
        <w:spacing w:after="0"/>
        <w:jc w:val="both"/>
        <w:rPr>
          <w:rFonts w:cstheme="minorHAnsi"/>
          <w:spacing w:val="1"/>
          <w:lang w:val="en-US"/>
        </w:rPr>
      </w:pPr>
      <w:r>
        <w:rPr>
          <w:rFonts w:hint="default"/>
          <w:spacing w:val="1"/>
          <w:lang w:val="en-US"/>
        </w:rPr>
        <w:t>Route surveys for transmission lines. Location, alignment, and profiling of towers. Surveying requirements for substations and distribution networks. Case studies on the use of modern surveying instruments in large-scale infrastructure and energy projects.</w:t>
      </w:r>
    </w:p>
    <w:p w14:paraId="7DB13DB3">
      <w:pPr>
        <w:spacing w:after="0"/>
        <w:jc w:val="both"/>
        <w:rPr>
          <w:rFonts w:cstheme="minorHAnsi"/>
          <w:b/>
          <w:bCs/>
          <w:spacing w:val="1"/>
          <w:lang w:val="en-US"/>
        </w:rPr>
      </w:pPr>
    </w:p>
    <w:p w14:paraId="6DB53D24">
      <w:pPr>
        <w:spacing w:after="0"/>
        <w:jc w:val="both"/>
        <w:rPr>
          <w:rFonts w:hint="default"/>
          <w:b/>
          <w:bCs/>
          <w:spacing w:val="1"/>
          <w:lang w:val="en-US"/>
        </w:rPr>
      </w:pPr>
      <w:r>
        <w:rPr>
          <w:rFonts w:hint="default"/>
          <w:b/>
          <w:bCs/>
          <w:spacing w:val="1"/>
          <w:lang w:val="en-US"/>
        </w:rPr>
        <w:t>Material Handling Equipment</w:t>
      </w:r>
    </w:p>
    <w:p w14:paraId="6A493ABB">
      <w:pPr>
        <w:spacing w:after="0"/>
        <w:jc w:val="both"/>
        <w:rPr>
          <w:rFonts w:cstheme="minorHAnsi"/>
          <w:spacing w:val="1"/>
        </w:rPr>
      </w:pPr>
      <w:r>
        <w:rPr>
          <w:rFonts w:hint="default"/>
          <w:spacing w:val="1"/>
        </w:rPr>
        <w:t>Introduction to material handling in construction and industry.Types of material handling equipment: conveyors, cranes, hoists, trucks, forklifts, automated guided vehicles (AGVs), etc.</w:t>
      </w:r>
      <w:r>
        <w:rPr>
          <w:rFonts w:hint="default"/>
          <w:spacing w:val="1"/>
          <w:lang w:val="en-US"/>
        </w:rPr>
        <w:t xml:space="preserve"> </w:t>
      </w:r>
      <w:r>
        <w:rPr>
          <w:rFonts w:hint="default"/>
          <w:spacing w:val="1"/>
        </w:rPr>
        <w:t>Principles of equipment selection: capacity, distance, speed, cost, and safety considerations.</w:t>
      </w:r>
      <w:r>
        <w:rPr>
          <w:rFonts w:hint="default"/>
          <w:spacing w:val="1"/>
          <w:lang w:val="en-US"/>
        </w:rPr>
        <w:t xml:space="preserve"> </w:t>
      </w:r>
      <w:r>
        <w:rPr>
          <w:rFonts w:hint="default"/>
          <w:spacing w:val="1"/>
        </w:rPr>
        <w:t>Industrial applications of different material handling systems.</w:t>
      </w:r>
    </w:p>
    <w:p w14:paraId="29AB6E56">
      <w:pPr>
        <w:pStyle w:val="12"/>
        <w:spacing w:before="0" w:beforeAutospacing="0" w:line="276" w:lineRule="auto"/>
        <w:jc w:val="both"/>
        <w:rPr>
          <w:rFonts w:eastAsia="Calibri" w:asciiTheme="minorHAnsi" w:hAnsiTheme="minorHAnsi" w:cstheme="minorHAnsi"/>
          <w:b/>
          <w:bCs/>
        </w:rPr>
      </w:pPr>
    </w:p>
    <w:p w14:paraId="165EFE10">
      <w:pPr>
        <w:pStyle w:val="12"/>
        <w:spacing w:before="0" w:beforeAutospacing="0" w:line="276" w:lineRule="auto"/>
        <w:jc w:val="both"/>
        <w:rPr>
          <w:rFonts w:eastAsia="Calibri" w:asciiTheme="minorHAnsi" w:hAnsiTheme="minorHAnsi" w:cstheme="minorHAnsi"/>
          <w:b/>
        </w:rPr>
      </w:pPr>
      <w:r>
        <w:rPr>
          <w:rFonts w:hint="default" w:eastAsia="Calibri" w:asciiTheme="minorHAnsi" w:hAnsiTheme="minorHAnsi"/>
          <w:b/>
          <w:bCs/>
        </w:rPr>
        <w:t>Planning and Design of Material Handling Systems</w:t>
      </w:r>
      <w:r>
        <w:rPr>
          <w:rFonts w:eastAsia="Calibri" w:asciiTheme="minorHAnsi" w:hAnsiTheme="minorHAnsi" w:cstheme="minorHAnsi"/>
          <w:b/>
          <w:bCs/>
        </w:rPr>
        <w:t>:</w:t>
      </w:r>
    </w:p>
    <w:p w14:paraId="64B56567">
      <w:pPr>
        <w:pStyle w:val="12"/>
        <w:spacing w:before="0" w:beforeAutospacing="0" w:line="276" w:lineRule="auto"/>
        <w:jc w:val="both"/>
        <w:rPr>
          <w:rFonts w:hint="default"/>
        </w:rPr>
      </w:pPr>
      <w:r>
        <w:rPr>
          <w:rFonts w:hint="default"/>
        </w:rPr>
        <w:t>Objectives and principles of material handling system design.</w:t>
      </w:r>
      <w:r>
        <w:rPr>
          <w:rFonts w:hint="default"/>
          <w:lang w:val="en-US"/>
        </w:rPr>
        <w:t xml:space="preserve"> </w:t>
      </w:r>
      <w:r>
        <w:rPr>
          <w:rFonts w:hint="default"/>
        </w:rPr>
        <w:t>Factors affecting system design and layout planning.</w:t>
      </w:r>
      <w:r>
        <w:rPr>
          <w:rFonts w:hint="default"/>
          <w:lang w:val="en-US"/>
        </w:rPr>
        <w:t xml:space="preserve"> </w:t>
      </w:r>
      <w:r>
        <w:rPr>
          <w:rFonts w:hint="default"/>
        </w:rPr>
        <w:t>Ergonomics in material handling.</w:t>
      </w:r>
      <w:r>
        <w:rPr>
          <w:rFonts w:hint="default"/>
          <w:lang w:val="en-US"/>
        </w:rPr>
        <w:t xml:space="preserve"> </w:t>
      </w:r>
      <w:r>
        <w:rPr>
          <w:rFonts w:hint="default"/>
        </w:rPr>
        <w:t>Introduction to automation in material handling.</w:t>
      </w:r>
      <w:r>
        <w:rPr>
          <w:rFonts w:hint="default"/>
          <w:lang w:val="en-US"/>
        </w:rPr>
        <w:t xml:space="preserve"> </w:t>
      </w:r>
      <w:r>
        <w:rPr>
          <w:rFonts w:hint="default"/>
        </w:rPr>
        <w:t>Case studies on system design and integration with industrial operations.</w:t>
      </w:r>
    </w:p>
    <w:p w14:paraId="729AC92C">
      <w:pPr>
        <w:pStyle w:val="12"/>
        <w:spacing w:before="0" w:beforeAutospacing="0" w:line="276" w:lineRule="auto"/>
        <w:jc w:val="both"/>
        <w:rPr>
          <w:rFonts w:hint="default"/>
          <w:lang w:val="en-US"/>
        </w:rPr>
      </w:pPr>
    </w:p>
    <w:p w14:paraId="1E0005B9">
      <w:pPr>
        <w:pStyle w:val="12"/>
        <w:spacing w:before="0" w:beforeAutospacing="0" w:line="276" w:lineRule="auto"/>
        <w:jc w:val="both"/>
        <w:rPr>
          <w:rFonts w:eastAsia="Calibri" w:asciiTheme="minorHAnsi" w:hAnsiTheme="minorHAnsi" w:cstheme="minorHAnsi"/>
        </w:rPr>
      </w:pPr>
      <w:r>
        <w:rPr>
          <w:rFonts w:hint="default" w:eastAsia="Calibri" w:asciiTheme="minorHAnsi" w:hAnsiTheme="minorHAnsi"/>
          <w:b/>
        </w:rPr>
        <w:t>Safety in Material Handling</w:t>
      </w:r>
      <w:r>
        <w:rPr>
          <w:rFonts w:eastAsia="Calibri" w:asciiTheme="minorHAnsi" w:hAnsiTheme="minorHAnsi" w:cstheme="minorHAnsi"/>
          <w:b/>
        </w:rPr>
        <w:t>:</w:t>
      </w:r>
    </w:p>
    <w:p w14:paraId="40AEDE98">
      <w:pPr>
        <w:spacing w:after="0"/>
        <w:jc w:val="both"/>
        <w:rPr>
          <w:rFonts w:hint="default" w:eastAsia="Calibri"/>
        </w:rPr>
      </w:pPr>
      <w:r>
        <w:rPr>
          <w:rFonts w:hint="default" w:eastAsia="Calibri"/>
        </w:rPr>
        <w:t>Manual Handling: hazards, safe lifting techniques, ergonomics, and injury prevention.</w:t>
      </w:r>
      <w:r>
        <w:rPr>
          <w:rFonts w:hint="default" w:eastAsia="Calibri"/>
          <w:lang w:val="en-US"/>
        </w:rPr>
        <w:t xml:space="preserve"> </w:t>
      </w:r>
      <w:r>
        <w:rPr>
          <w:rFonts w:hint="default" w:eastAsia="Calibri"/>
        </w:rPr>
        <w:t>Mechanical Handling: safe operation and maintenance of equipment, risk assessment, and safety protocols.</w:t>
      </w:r>
      <w:r>
        <w:rPr>
          <w:rFonts w:hint="default" w:eastAsia="Calibri"/>
          <w:lang w:val="en-US"/>
        </w:rPr>
        <w:t xml:space="preserve"> </w:t>
      </w:r>
      <w:r>
        <w:rPr>
          <w:rFonts w:hint="default" w:eastAsia="Calibri"/>
        </w:rPr>
        <w:t>Standards and guidelines.</w:t>
      </w:r>
      <w:r>
        <w:rPr>
          <w:rFonts w:hint="default" w:eastAsia="Calibri"/>
          <w:lang w:val="en-US"/>
        </w:rPr>
        <w:t xml:space="preserve"> </w:t>
      </w:r>
      <w:r>
        <w:rPr>
          <w:rFonts w:hint="default" w:eastAsia="Calibri"/>
        </w:rPr>
        <w:t>Preventive measures, safety audits, and training practices.</w:t>
      </w:r>
    </w:p>
    <w:p w14:paraId="148F45F3">
      <w:pPr>
        <w:spacing w:after="0"/>
        <w:jc w:val="both"/>
        <w:rPr>
          <w:rFonts w:hint="default" w:eastAsia="Calibri"/>
        </w:rPr>
      </w:pPr>
    </w:p>
    <w:p w14:paraId="2A4316B9">
      <w:pPr>
        <w:rPr>
          <w:rFonts w:eastAsia="Times New Roman" w:cstheme="minorHAnsi"/>
          <w:b/>
          <w:bCs/>
          <w:spacing w:val="-1"/>
        </w:rPr>
      </w:pPr>
      <w:r>
        <w:rPr>
          <w:rFonts w:eastAsia="Times New Roman" w:cstheme="minorHAnsi"/>
          <w:b/>
          <w:bCs/>
          <w:spacing w:val="-1"/>
        </w:rPr>
        <w:t>Textbook:</w:t>
      </w:r>
    </w:p>
    <w:p w14:paraId="7F40B593">
      <w:pPr>
        <w:numPr>
          <w:ilvl w:val="0"/>
          <w:numId w:val="1"/>
        </w:numPr>
        <w:rPr>
          <w:rFonts w:hint="default" w:eastAsia="Times New Roman"/>
          <w:spacing w:val="-1"/>
        </w:rPr>
      </w:pPr>
      <w:r>
        <w:rPr>
          <w:rFonts w:hint="default" w:eastAsia="Times New Roman"/>
          <w:spacing w:val="-1"/>
        </w:rPr>
        <w:t>Punmia, B. C., Jain, A. K., &amp; Jain, A. K. (20</w:t>
      </w:r>
      <w:r>
        <w:rPr>
          <w:rFonts w:hint="default" w:eastAsia="Times New Roman"/>
          <w:spacing w:val="-1"/>
          <w:lang w:val="en-US"/>
        </w:rPr>
        <w:t>15</w:t>
      </w:r>
      <w:bookmarkStart w:id="0" w:name="_GoBack"/>
      <w:bookmarkEnd w:id="0"/>
      <w:r>
        <w:rPr>
          <w:rFonts w:hint="default" w:eastAsia="Times New Roman"/>
          <w:spacing w:val="-1"/>
        </w:rPr>
        <w:t>). Surveying (Vol. II &amp; III). Laxmi Publications.</w:t>
      </w:r>
    </w:p>
    <w:p w14:paraId="6ACB80EF">
      <w:pPr>
        <w:numPr>
          <w:ilvl w:val="0"/>
          <w:numId w:val="1"/>
        </w:numPr>
        <w:rPr>
          <w:rFonts w:eastAsia="Times New Roman" w:cstheme="minorHAnsi"/>
          <w:spacing w:val="-1"/>
        </w:rPr>
      </w:pPr>
      <w:r>
        <w:rPr>
          <w:rFonts w:hint="default" w:eastAsia="Times New Roman"/>
          <w:spacing w:val="-1"/>
        </w:rPr>
        <w:t>Sudha, R. (2010). Material Handling: Principles and Practices. PHI Learning.</w:t>
      </w:r>
    </w:p>
    <w:p w14:paraId="1C1E46D7">
      <w:pPr>
        <w:rPr>
          <w:rFonts w:eastAsia="Times New Roman" w:cstheme="minorHAnsi"/>
          <w:b/>
          <w:bCs/>
          <w:spacing w:val="-1"/>
        </w:rPr>
      </w:pPr>
      <w:r>
        <w:rPr>
          <w:rFonts w:eastAsia="Times New Roman" w:cstheme="minorHAnsi"/>
          <w:b/>
          <w:bCs/>
          <w:spacing w:val="-1"/>
        </w:rPr>
        <w:t>Reference Books:</w:t>
      </w:r>
    </w:p>
    <w:p w14:paraId="780D8C28">
      <w:pPr>
        <w:numPr>
          <w:ilvl w:val="0"/>
          <w:numId w:val="2"/>
        </w:numPr>
        <w:rPr>
          <w:rFonts w:hint="default" w:eastAsia="Times New Roman"/>
          <w:spacing w:val="-1"/>
        </w:rPr>
      </w:pPr>
      <w:r>
        <w:rPr>
          <w:rFonts w:hint="default" w:eastAsia="Times New Roman"/>
          <w:spacing w:val="-1"/>
        </w:rPr>
        <w:t>Arora, K. R. (2010). Surveying (Vol. II &amp; III). Standard Book House.</w:t>
      </w:r>
    </w:p>
    <w:p w14:paraId="1CA12658">
      <w:pPr>
        <w:numPr>
          <w:ilvl w:val="0"/>
          <w:numId w:val="2"/>
        </w:numPr>
        <w:rPr>
          <w:rFonts w:hint="default" w:eastAsia="Times New Roman"/>
          <w:spacing w:val="-1"/>
        </w:rPr>
      </w:pPr>
      <w:r>
        <w:rPr>
          <w:rFonts w:hint="default" w:eastAsia="Times New Roman"/>
          <w:spacing w:val="-1"/>
        </w:rPr>
        <w:t>Wolf, P. R., &amp; Dewitt, B. A. (2000). Elements of Photogrammetry with Applications in GIS. McGraw-Hill.</w:t>
      </w:r>
    </w:p>
    <w:p w14:paraId="58076797">
      <w:pPr>
        <w:numPr>
          <w:ilvl w:val="0"/>
          <w:numId w:val="2"/>
        </w:numPr>
        <w:rPr>
          <w:rFonts w:hint="default" w:eastAsia="Times New Roman"/>
          <w:spacing w:val="-1"/>
        </w:rPr>
      </w:pPr>
      <w:r>
        <w:rPr>
          <w:rFonts w:hint="default" w:eastAsia="Times New Roman"/>
          <w:spacing w:val="-1"/>
        </w:rPr>
        <w:t>Peurifoy, R. L., &amp; Schexnayder, C. J. (2002). Construction Planning, Equipment and Methods. McGraw-Hill.</w:t>
      </w:r>
    </w:p>
    <w:p w14:paraId="5BE3C613">
      <w:pPr>
        <w:numPr>
          <w:ilvl w:val="0"/>
          <w:numId w:val="2"/>
        </w:numPr>
        <w:rPr>
          <w:rFonts w:eastAsia="Times New Roman" w:cstheme="minorHAnsi"/>
          <w:spacing w:val="-1"/>
        </w:rPr>
      </w:pPr>
      <w:r>
        <w:rPr>
          <w:rFonts w:hint="default" w:eastAsia="Times New Roman"/>
          <w:spacing w:val="-1"/>
        </w:rPr>
        <w:t>Apple, J. M. (1972). Material Handling System Design. John Wiley &amp; Sons.</w:t>
      </w:r>
    </w:p>
    <w:p w14:paraId="340A647D">
      <w:pPr>
        <w:numPr>
          <w:ilvl w:val="0"/>
          <w:numId w:val="2"/>
        </w:numPr>
        <w:rPr>
          <w:rFonts w:cstheme="minorHAnsi"/>
          <w:sz w:val="24"/>
          <w:szCs w:val="24"/>
        </w:rPr>
      </w:pPr>
      <w:r>
        <w:rPr>
          <w:rFonts w:hint="default" w:eastAsia="Times New Roman"/>
          <w:spacing w:val="-1"/>
        </w:rPr>
        <w:t>Bartholdi, J. J., &amp; Hackman, S. T. (2011). Warehouse &amp; Distribution Science. The Supply Chain and Logistics Institute</w:t>
      </w:r>
    </w:p>
    <w:p w14:paraId="0F014FE5">
      <w:pPr>
        <w:numPr>
          <w:ilvl w:val="0"/>
          <w:numId w:val="2"/>
        </w:numPr>
        <w:rPr>
          <w:rFonts w:cstheme="minorHAnsi"/>
          <w:sz w:val="22"/>
          <w:szCs w:val="22"/>
        </w:rPr>
      </w:pPr>
      <w:r>
        <w:rPr>
          <w:rFonts w:hint="default"/>
          <w:sz w:val="22"/>
          <w:szCs w:val="22"/>
        </w:rPr>
        <w:t>Duggal, S. K. (2013). Surveying (Vol. II). Tata McGraw-Hill Education.</w:t>
      </w:r>
    </w:p>
    <w:p w14:paraId="0F9E3A40">
      <w:pPr>
        <w:rPr>
          <w:rFonts w:ascii="Times New Roman" w:hAnsi="Times New Roman" w:cs="Times New Roman"/>
          <w:sz w:val="24"/>
          <w:szCs w:val="24"/>
        </w:rPr>
      </w:pPr>
    </w:p>
    <w:sectPr>
      <w:pgSz w:w="11906" w:h="16838"/>
      <w:pgMar w:top="1440" w:right="566" w:bottom="1440" w:left="709"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Kalinga">
    <w:altName w:val="AMGDT"/>
    <w:panose1 w:val="000000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angal">
    <w:altName w:val="AMGDT"/>
    <w:panose1 w:val="00000400000000000000"/>
    <w:charset w:val="00"/>
    <w:family w:val="roman"/>
    <w:pitch w:val="default"/>
    <w:sig w:usb0="00000000" w:usb1="00000000" w:usb2="00000000" w:usb3="00000000" w:csb0="00000001" w:csb1="00000000"/>
  </w:font>
  <w:font w:name="Georgia">
    <w:panose1 w:val="02040502050405020303"/>
    <w:charset w:val="00"/>
    <w:family w:val="roman"/>
    <w:pitch w:val="default"/>
    <w:sig w:usb0="00000287" w:usb1="00000000" w:usb2="00000000" w:usb3="00000000" w:csb0="2000009F"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48F0D4"/>
    <w:multiLevelType w:val="singleLevel"/>
    <w:tmpl w:val="E048F0D4"/>
    <w:lvl w:ilvl="0" w:tentative="0">
      <w:start w:val="1"/>
      <w:numFmt w:val="decimal"/>
      <w:lvlText w:val="%1."/>
      <w:lvlJc w:val="left"/>
      <w:pPr>
        <w:tabs>
          <w:tab w:val="left" w:pos="312"/>
        </w:tabs>
      </w:pPr>
    </w:lvl>
  </w:abstractNum>
  <w:abstractNum w:abstractNumId="1">
    <w:nsid w:val="30F83BCE"/>
    <w:multiLevelType w:val="singleLevel"/>
    <w:tmpl w:val="30F83BCE"/>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717DC"/>
    <w:rsid w:val="00074859"/>
    <w:rsid w:val="00086521"/>
    <w:rsid w:val="000A08A2"/>
    <w:rsid w:val="000A3DA3"/>
    <w:rsid w:val="000C3464"/>
    <w:rsid w:val="0010668A"/>
    <w:rsid w:val="00121A94"/>
    <w:rsid w:val="00152431"/>
    <w:rsid w:val="00157A08"/>
    <w:rsid w:val="00176F50"/>
    <w:rsid w:val="001B621E"/>
    <w:rsid w:val="001C31ED"/>
    <w:rsid w:val="0021333F"/>
    <w:rsid w:val="002F21FA"/>
    <w:rsid w:val="0038749F"/>
    <w:rsid w:val="003A68FE"/>
    <w:rsid w:val="003D1AF9"/>
    <w:rsid w:val="00457947"/>
    <w:rsid w:val="00457959"/>
    <w:rsid w:val="0047080C"/>
    <w:rsid w:val="0049520C"/>
    <w:rsid w:val="00552A8F"/>
    <w:rsid w:val="00563F1D"/>
    <w:rsid w:val="00590FBC"/>
    <w:rsid w:val="005B0292"/>
    <w:rsid w:val="00636684"/>
    <w:rsid w:val="0065101C"/>
    <w:rsid w:val="00703642"/>
    <w:rsid w:val="00751796"/>
    <w:rsid w:val="00774E8D"/>
    <w:rsid w:val="0079008C"/>
    <w:rsid w:val="007A01F9"/>
    <w:rsid w:val="007B4201"/>
    <w:rsid w:val="00803490"/>
    <w:rsid w:val="00814145"/>
    <w:rsid w:val="00836AA1"/>
    <w:rsid w:val="00872129"/>
    <w:rsid w:val="008A76F3"/>
    <w:rsid w:val="00914BE2"/>
    <w:rsid w:val="00954469"/>
    <w:rsid w:val="00990470"/>
    <w:rsid w:val="009911E4"/>
    <w:rsid w:val="00A46D10"/>
    <w:rsid w:val="00AF1E5E"/>
    <w:rsid w:val="00B46694"/>
    <w:rsid w:val="00B55560"/>
    <w:rsid w:val="00B92CE5"/>
    <w:rsid w:val="00BF1FAE"/>
    <w:rsid w:val="00C903B9"/>
    <w:rsid w:val="00CF08D5"/>
    <w:rsid w:val="00D532D1"/>
    <w:rsid w:val="00D75E13"/>
    <w:rsid w:val="00DF204C"/>
    <w:rsid w:val="00E373C8"/>
    <w:rsid w:val="00E472FD"/>
    <w:rsid w:val="00EE37CF"/>
    <w:rsid w:val="00F12659"/>
    <w:rsid w:val="00F50EC9"/>
    <w:rsid w:val="00F51EAD"/>
    <w:rsid w:val="00FD774E"/>
    <w:rsid w:val="04451F4D"/>
    <w:rsid w:val="0F7C4CF8"/>
    <w:rsid w:val="1A250AA5"/>
    <w:rsid w:val="376F3EFE"/>
    <w:rsid w:val="45EB6847"/>
    <w:rsid w:val="61F1698A"/>
    <w:rsid w:val="7BE25161"/>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4"/>
    <w:basedOn w:val="1"/>
    <w:next w:val="1"/>
    <w:link w:val="11"/>
    <w:semiHidden/>
    <w:unhideWhenUsed/>
    <w:qFormat/>
    <w:uiPriority w:val="9"/>
    <w:pPr>
      <w:keepNext/>
      <w:keepLines/>
      <w:spacing w:before="280" w:after="290" w:line="376" w:lineRule="auto"/>
      <w:outlineLvl w:val="3"/>
    </w:pPr>
    <w:rPr>
      <w:b/>
      <w:bCs/>
      <w:sz w:val="28"/>
      <w:szCs w:val="2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pPr>
      <w:spacing w:after="0" w:line="240" w:lineRule="auto"/>
    </w:pPr>
    <w:rPr>
      <w:rFonts w:ascii="Tahoma" w:hAnsi="Tahoma" w:cs="Tahoma"/>
      <w:sz w:val="16"/>
      <w:szCs w:val="16"/>
    </w:rPr>
  </w:style>
  <w:style w:type="paragraph" w:styleId="6">
    <w:name w:val="Body Text"/>
    <w:basedOn w:val="1"/>
    <w:link w:val="8"/>
    <w:qFormat/>
    <w:uiPriority w:val="1"/>
    <w:pPr>
      <w:widowControl w:val="0"/>
      <w:autoSpaceDE w:val="0"/>
      <w:autoSpaceDN w:val="0"/>
      <w:spacing w:after="0" w:line="240" w:lineRule="auto"/>
    </w:pPr>
    <w:rPr>
      <w:rFonts w:ascii="Cambria" w:hAnsi="Cambria" w:eastAsia="Cambria" w:cs="Cambria"/>
      <w:b/>
      <w:bCs/>
      <w:sz w:val="24"/>
      <w:szCs w:val="24"/>
      <w:lang w:val="en-US"/>
    </w:rPr>
  </w:style>
  <w:style w:type="paragraph" w:styleId="7">
    <w:name w:val="Title"/>
    <w:basedOn w:val="1"/>
    <w:link w:val="9"/>
    <w:qFormat/>
    <w:uiPriority w:val="1"/>
    <w:pPr>
      <w:widowControl w:val="0"/>
      <w:autoSpaceDE w:val="0"/>
      <w:autoSpaceDN w:val="0"/>
      <w:spacing w:before="101" w:after="0" w:line="240" w:lineRule="auto"/>
      <w:ind w:left="3163" w:right="3164"/>
      <w:jc w:val="center"/>
    </w:pPr>
    <w:rPr>
      <w:rFonts w:ascii="Cambria" w:hAnsi="Cambria" w:eastAsia="Cambria" w:cs="Cambria"/>
      <w:b/>
      <w:bCs/>
      <w:sz w:val="28"/>
      <w:szCs w:val="28"/>
      <w:u w:val="single" w:color="000000"/>
      <w:lang w:val="en-US"/>
    </w:rPr>
  </w:style>
  <w:style w:type="character" w:customStyle="1" w:styleId="8">
    <w:name w:val="Body Text Char"/>
    <w:basedOn w:val="3"/>
    <w:link w:val="6"/>
    <w:qFormat/>
    <w:uiPriority w:val="1"/>
    <w:rPr>
      <w:rFonts w:ascii="Cambria" w:hAnsi="Cambria" w:eastAsia="Cambria" w:cs="Cambria"/>
      <w:b/>
      <w:bCs/>
      <w:sz w:val="24"/>
      <w:szCs w:val="24"/>
      <w:lang w:val="en-US"/>
    </w:rPr>
  </w:style>
  <w:style w:type="character" w:customStyle="1" w:styleId="9">
    <w:name w:val="Title Char"/>
    <w:basedOn w:val="3"/>
    <w:link w:val="7"/>
    <w:qFormat/>
    <w:uiPriority w:val="1"/>
    <w:rPr>
      <w:rFonts w:ascii="Cambria" w:hAnsi="Cambria" w:eastAsia="Cambria" w:cs="Cambria"/>
      <w:b/>
      <w:bCs/>
      <w:sz w:val="28"/>
      <w:szCs w:val="28"/>
      <w:u w:val="single" w:color="000000"/>
      <w:lang w:val="en-US"/>
    </w:rPr>
  </w:style>
  <w:style w:type="character" w:customStyle="1" w:styleId="10">
    <w:name w:val="Balloon Text Char"/>
    <w:basedOn w:val="3"/>
    <w:link w:val="5"/>
    <w:semiHidden/>
    <w:qFormat/>
    <w:uiPriority w:val="99"/>
    <w:rPr>
      <w:rFonts w:ascii="Tahoma" w:hAnsi="Tahoma" w:cs="Tahoma"/>
      <w:sz w:val="16"/>
      <w:szCs w:val="16"/>
    </w:rPr>
  </w:style>
  <w:style w:type="character" w:customStyle="1" w:styleId="11">
    <w:name w:val="Heading 4 Char"/>
    <w:link w:val="2"/>
    <w:qFormat/>
    <w:uiPriority w:val="0"/>
    <w:rPr>
      <w:b/>
      <w:bCs/>
      <w:sz w:val="28"/>
      <w:szCs w:val="28"/>
    </w:rPr>
  </w:style>
  <w:style w:type="paragraph" w:styleId="12">
    <w:name w:val="No Spacing"/>
    <w:basedOn w:val="1"/>
    <w:qFormat/>
    <w:uiPriority w:val="99"/>
    <w:pPr>
      <w:widowControl w:val="0"/>
      <w:spacing w:before="100" w:beforeAutospacing="1" w:after="0" w:line="240" w:lineRule="auto"/>
    </w:pPr>
    <w:rPr>
      <w:rFonts w:ascii="Calibri" w:hAnsi="Calibri" w:eastAsia="Times New Roman" w:cs="Mang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616</Words>
  <Characters>3515</Characters>
  <Lines>29</Lines>
  <Paragraphs>8</Paragraphs>
  <TotalTime>37</TotalTime>
  <ScaleCrop>false</ScaleCrop>
  <LinksUpToDate>false</LinksUpToDate>
  <CharactersWithSpaces>4123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2025-09-17T12:12:00Z</dcterms:created>
  <dc:creator>DELL</dc:creator>
  <cp:lastModifiedBy>KIIT</cp:lastModifiedBy>
  <dcterms:modified xsi:type="dcterms:W3CDTF">2025-09-19T12:50:37Z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826F771A9E4C4D5CB374B932DDEBD482</vt:lpwstr>
  </property>
</Properties>
</file>