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52"/>
        </w:rPr>
        <w:t>IBM ACE to Java Spring Boot</w:t>
        <w:br/>
        <w:t>Agentic AI Migration Factory</w:t>
      </w:r>
    </w:p>
    <w:p>
      <w:pPr>
        <w:jc w:val="center"/>
      </w:pPr>
      <w:r>
        <w:rPr>
          <w:color w:val="2F75B5"/>
          <w:sz w:val="32"/>
        </w:rPr>
        <w:t>Formal Solution Architecture and Complete Factory Design</w:t>
      </w:r>
    </w:p>
    <w:p>
      <w:pPr>
        <w:jc w:val="center"/>
      </w:pPr>
      <w:r>
        <w:t>Version 1.0 | Planning baseline: 14 September 2026 to 4 December 2026</w:t>
      </w:r>
    </w:p>
    <w:p>
      <w:pPr>
        <w:jc w:val="center"/>
      </w:pPr>
      <w:r>
        <w:t>Prepared as an enterprise architecture baseline. Organisation-specific technology selections, cloud services, security controls and delivery dates must be confirmed during architecture governance.</w:t>
      </w:r>
    </w:p>
    <w:p>
      <w:r>
        <w:br w:type="page"/>
      </w:r>
    </w:p>
    <w:p>
      <w:pPr>
        <w:pStyle w:val="Heading1"/>
      </w:pPr>
      <w:r>
        <w:t>1. Executive Summary</w:t>
      </w:r>
    </w:p>
    <w:p>
      <w:r>
        <w:t>The proposed solution is a reusable Agentic AI Migration Factory that converts IBM App Connect Enterprise (ACE) services into governed Java Spring Boot microservices. It does not treat migration as a single code-generation step. It manages a traceable lifecycle covering repository intake, optional dormancy assessment, target-framework discovery, ACE semantic analysis, migration specification, human approval, implementation, differential testing, root-cause analysis, remediation, repeated validation, promotion and rollback.</w:t>
      </w:r>
    </w:p>
    <w:p>
      <w:r>
        <w:t>The factory is designed around a stateful orchestrator, specialised agents, deterministic engineering tools, configurable human gates, an evidence ledger and a web-based control plane. AI is used for interpretation, planning, explanation and constrained remediation. Deterministic parsers, compilers, test runners, schema validators and security scanners remain the authority wherever objective validation is possible.</w:t>
      </w:r>
    </w:p>
    <w:p>
      <w:pPr>
        <w:pStyle w:val="Heading1"/>
      </w:pPr>
      <w:r>
        <w:t>2. Objectives and Design Principles</w:t>
      </w:r>
    </w:p>
    <w:p>
      <w:pPr>
        <w:pStyle w:val="ListBullet"/>
      </w:pPr>
      <w:r>
        <w:t>No assumption under uncertainty: unresolved facts become explicit clarification items and pause only the affected workflow.</w:t>
      </w:r>
    </w:p>
    <w:p>
      <w:pPr>
        <w:pStyle w:val="ListBullet"/>
      </w:pPr>
      <w:r>
        <w:t>Human control by policy: every gate is configurable, but bypass decisions are themselves governed and audited.</w:t>
      </w:r>
    </w:p>
    <w:p>
      <w:pPr>
        <w:pStyle w:val="ListBullet"/>
      </w:pPr>
      <w:r>
        <w:t>Behavioural equivalence, not superficial output matching: hard-coded values and test-specific conditionals are prohibited.</w:t>
      </w:r>
    </w:p>
    <w:p>
      <w:pPr>
        <w:pStyle w:val="ListBullet"/>
      </w:pPr>
      <w:r>
        <w:t>Evidence before autonomy: direct remediation requires traceable evidence, policy eligibility and sufficient confidence.</w:t>
      </w:r>
    </w:p>
    <w:p>
      <w:pPr>
        <w:pStyle w:val="ListBullet"/>
      </w:pPr>
      <w:r>
        <w:t>Reversible delivery: every iteration produces a complete versioned snapshot of code, configuration, tests, artefacts and approvals.</w:t>
      </w:r>
    </w:p>
    <w:p>
      <w:pPr>
        <w:pStyle w:val="ListBullet"/>
      </w:pPr>
      <w:r>
        <w:t>Template-led standardisation: generated services conform to an approved and versioned Spring Boot framework baseline.</w:t>
      </w:r>
    </w:p>
    <w:p>
      <w:pPr>
        <w:pStyle w:val="ListBullet"/>
      </w:pPr>
      <w:r>
        <w:t>Secure by design: least privilege, secret indirection, data masking, isolation and end-to-end audit are built into the platform.</w:t>
      </w:r>
    </w:p>
    <w:p>
      <w:pPr>
        <w:pStyle w:val="ListBullet"/>
      </w:pPr>
      <w:r>
        <w:t>Composable adapters: source control, telemetry, ACE runtime, CI/CD, model providers and deployment targets are replaceable connectors.</w:t>
      </w:r>
    </w:p>
    <w:p>
      <w:pPr>
        <w:pStyle w:val="Heading1"/>
      </w:pPr>
      <w:r>
        <w:t>3. Scope</w:t>
      </w:r>
    </w:p>
    <w:tbl>
      <w:tblPr>
        <w:tblStyle w:val="LightShading-Accent1"/>
        <w:tblW w:type="auto" w:w="0"/>
        <w:jc w:val="center"/>
        <w:tblLook w:firstColumn="1" w:firstRow="1" w:lastColumn="0" w:lastRow="0" w:noHBand="0" w:noVBand="1" w:val="04A0"/>
      </w:tblPr>
      <w:tblGrid>
        <w:gridCol w:w="5040"/>
        <w:gridCol w:w="5040"/>
      </w:tblGrid>
      <w:tr>
        <w:tc>
          <w:tcPr>
            <w:tcW w:type="dxa" w:w="5040"/>
            <w:shd w:fill="17365D"/>
          </w:tcPr>
          <w:p>
            <w:r>
              <w:rPr>
                <w:b/>
                <w:color w:val="FFFFFF"/>
              </w:rPr>
              <w:t>In Scope</w:t>
            </w:r>
          </w:p>
        </w:tc>
        <w:tc>
          <w:tcPr>
            <w:tcW w:type="dxa" w:w="5040"/>
            <w:shd w:fill="17365D"/>
          </w:tcPr>
          <w:p>
            <w:r>
              <w:rPr>
                <w:b/>
                <w:color w:val="FFFFFF"/>
              </w:rPr>
              <w:t>Out of Scope / Requires Project Decision</w:t>
            </w:r>
          </w:p>
        </w:tc>
      </w:tr>
      <w:tr>
        <w:tc>
          <w:tcPr>
            <w:tcW w:type="dxa" w:w="5040"/>
            <w:vAlign w:val="center"/>
          </w:tcPr>
          <w:p>
            <w:r>
              <w:t>Repository and runtime intake; ACE analysis; Spring framework discovery; migration YAML; planning; code generation; testing; variance analysis; RCA; remediation; approvals; audit; rollback; UI; APIs; operations.</w:t>
            </w:r>
          </w:p>
        </w:tc>
        <w:tc>
          <w:tcPr>
            <w:tcW w:type="dxa" w:w="5040"/>
            <w:vAlign w:val="center"/>
          </w:tcPr>
          <w:p>
            <w:r>
              <w:t>A specific cloud vendor, Git platform, production monitoring product, model provider, target database or organisation security standard is not assumed.</w:t>
            </w:r>
          </w:p>
        </w:tc>
      </w:tr>
      <w:tr>
        <w:tc>
          <w:tcPr>
            <w:tcW w:type="dxa" w:w="5040"/>
            <w:vAlign w:val="center"/>
          </w:tcPr>
          <w:p>
            <w:r>
              <w:t>Common ACE artefacts including flows, subflows, ESQL, maps, schemas, policies, endpoints, messaging and error paths.</w:t>
            </w:r>
          </w:p>
        </w:tc>
        <w:tc>
          <w:tcPr>
            <w:tcW w:type="dxa" w:w="5040"/>
            <w:vAlign w:val="center"/>
          </w:tcPr>
          <w:p>
            <w:r>
              <w:t>Unsupported custom nodes or proprietary extensions are routed through clarification or plug-in development.</w:t>
            </w:r>
          </w:p>
        </w:tc>
      </w:tr>
      <w:tr>
        <w:tc>
          <w:tcPr>
            <w:tcW w:type="dxa" w:w="5040"/>
            <w:vAlign w:val="center"/>
          </w:tcPr>
          <w:p>
            <w:r>
              <w:t>Factory productisation and repeatable migration execution.</w:t>
            </w:r>
          </w:p>
        </w:tc>
        <w:tc>
          <w:tcPr>
            <w:tcW w:type="dxa" w:w="5040"/>
            <w:vAlign w:val="center"/>
          </w:tcPr>
          <w:p>
            <w:r>
              <w:t>The plan builds the factory. Migration waves for the actual service estate require a separate service-by-service rollout plan.</w:t>
            </w:r>
          </w:p>
        </w:tc>
      </w:tr>
    </w:tbl>
    <w:p>
      <w:pPr>
        <w:pStyle w:val="Heading1"/>
      </w:pPr>
      <w:r>
        <w:t>4. Logical Architecture</w:t>
      </w:r>
    </w:p>
    <w:p>
      <w:r>
        <w:t>The architecture is divided into five planes so that user interaction, workflow control, AI reasoning, engineering execution and governance can scale and evolve independently.</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shd w:fill="17365D"/>
          </w:tcPr>
          <w:p>
            <w:r>
              <w:rPr>
                <w:b/>
                <w:color w:val="FFFFFF"/>
              </w:rPr>
              <w:t>Plane</w:t>
            </w:r>
          </w:p>
        </w:tc>
        <w:tc>
          <w:tcPr>
            <w:tcW w:type="dxa" w:w="3360"/>
            <w:shd w:fill="17365D"/>
          </w:tcPr>
          <w:p>
            <w:r>
              <w:rPr>
                <w:b/>
                <w:color w:val="FFFFFF"/>
              </w:rPr>
              <w:t>Primary Components</w:t>
            </w:r>
          </w:p>
        </w:tc>
        <w:tc>
          <w:tcPr>
            <w:tcW w:type="dxa" w:w="3360"/>
            <w:shd w:fill="17365D"/>
          </w:tcPr>
          <w:p>
            <w:r>
              <w:rPr>
                <w:b/>
                <w:color w:val="FFFFFF"/>
              </w:rPr>
              <w:t>Responsibility</w:t>
            </w:r>
          </w:p>
        </w:tc>
      </w:tr>
      <w:tr>
        <w:tc>
          <w:tcPr>
            <w:tcW w:type="dxa" w:w="3360"/>
            <w:vAlign w:val="center"/>
          </w:tcPr>
          <w:p>
            <w:r>
              <w:t>Experience Plane</w:t>
            </w:r>
          </w:p>
        </w:tc>
        <w:tc>
          <w:tcPr>
            <w:tcW w:type="dxa" w:w="3360"/>
            <w:vAlign w:val="center"/>
          </w:tcPr>
          <w:p>
            <w:r>
              <w:t>Migration portal, approval inbox, artefact viewer, variance console, administration UI</w:t>
            </w:r>
          </w:p>
        </w:tc>
        <w:tc>
          <w:tcPr>
            <w:tcW w:type="dxa" w:w="3360"/>
            <w:vAlign w:val="center"/>
          </w:tcPr>
          <w:p>
            <w:r>
              <w:t>Onboard services, configure pipeline features and gates, review artefacts, supply clarifications, compare results and control iterations.</w:t>
            </w:r>
          </w:p>
        </w:tc>
      </w:tr>
      <w:tr>
        <w:tc>
          <w:tcPr>
            <w:tcW w:type="dxa" w:w="3360"/>
            <w:vAlign w:val="center"/>
          </w:tcPr>
          <w:p>
            <w:r>
              <w:t>Control Plane</w:t>
            </w:r>
          </w:p>
        </w:tc>
        <w:tc>
          <w:tcPr>
            <w:tcW w:type="dxa" w:w="3360"/>
            <w:vAlign w:val="center"/>
          </w:tcPr>
          <w:p>
            <w:r>
              <w:t>API gateway, migration registry, workflow orchestrator, state machine, policy engine, scheduler, notification service</w:t>
            </w:r>
          </w:p>
        </w:tc>
        <w:tc>
          <w:tcPr>
            <w:tcW w:type="dxa" w:w="3360"/>
            <w:vAlign w:val="center"/>
          </w:tcPr>
          <w:p>
            <w:r>
              <w:t>Own lifecycle state, route work, enforce gates and policies, handle retries, timeouts, idempotency, pause/resume and cancellation.</w:t>
            </w:r>
          </w:p>
        </w:tc>
      </w:tr>
      <w:tr>
        <w:tc>
          <w:tcPr>
            <w:tcW w:type="dxa" w:w="3360"/>
            <w:vAlign w:val="center"/>
          </w:tcPr>
          <w:p>
            <w:r>
              <w:t>Intelligence Plane</w:t>
            </w:r>
          </w:p>
        </w:tc>
        <w:tc>
          <w:tcPr>
            <w:tcW w:type="dxa" w:w="3360"/>
            <w:vAlign w:val="center"/>
          </w:tcPr>
          <w:p>
            <w:r>
              <w:t>Specialised agents, model gateway, retrieval service, prompt registry, confidence service</w:t>
            </w:r>
          </w:p>
        </w:tc>
        <w:tc>
          <w:tcPr>
            <w:tcW w:type="dxa" w:w="3360"/>
            <w:vAlign w:val="center"/>
          </w:tcPr>
          <w:p>
            <w:r>
              <w:t>Interpret ACE and Spring artefacts, create structured plans and explanations, propose RCA and constrained fixes.</w:t>
            </w:r>
          </w:p>
        </w:tc>
      </w:tr>
      <w:tr>
        <w:tc>
          <w:tcPr>
            <w:tcW w:type="dxa" w:w="3360"/>
            <w:vAlign w:val="center"/>
          </w:tcPr>
          <w:p>
            <w:r>
              <w:t>Engineering Plane</w:t>
            </w:r>
          </w:p>
        </w:tc>
        <w:tc>
          <w:tcPr>
            <w:tcW w:type="dxa" w:w="3360"/>
            <w:vAlign w:val="center"/>
          </w:tcPr>
          <w:p>
            <w:r>
              <w:t>Parsers, code generator, build runner, test harness, comparator, scanners, Git and CI/CD adapters</w:t>
            </w:r>
          </w:p>
        </w:tc>
        <w:tc>
          <w:tcPr>
            <w:tcW w:type="dxa" w:w="3360"/>
            <w:vAlign w:val="center"/>
          </w:tcPr>
          <w:p>
            <w:r>
              <w:t>Perform deterministic extraction, generation, compilation, testing, scanning, version control and deployment activities.</w:t>
            </w:r>
          </w:p>
        </w:tc>
      </w:tr>
      <w:tr>
        <w:tc>
          <w:tcPr>
            <w:tcW w:type="dxa" w:w="3360"/>
            <w:vAlign w:val="center"/>
          </w:tcPr>
          <w:p>
            <w:r>
              <w:t>Data and Governance Plane</w:t>
            </w:r>
          </w:p>
        </w:tc>
        <w:tc>
          <w:tcPr>
            <w:tcW w:type="dxa" w:w="3360"/>
            <w:vAlign w:val="center"/>
          </w:tcPr>
          <w:p>
            <w:r>
              <w:t>Metadata store, object store, evidence ledger, vector/index store, secrets vault, observability and audit</w:t>
            </w:r>
          </w:p>
        </w:tc>
        <w:tc>
          <w:tcPr>
            <w:tcW w:type="dxa" w:w="3360"/>
            <w:vAlign w:val="center"/>
          </w:tcPr>
          <w:p>
            <w:r>
              <w:t>Persist state and artefacts, preserve evidence and lineage, protect secrets, support search and operate the factory.</w:t>
            </w:r>
          </w:p>
        </w:tc>
      </w:tr>
    </w:tbl>
    <w:p>
      <w:pPr>
        <w:pStyle w:val="Heading1"/>
      </w:pPr>
      <w:r>
        <w:t>5. End-to-End Lifecycle and State Model</w:t>
      </w:r>
    </w:p>
    <w:p>
      <w:r>
        <w:t>Each migration is a durable workflow. A workflow step cannot silently skip an ambiguity. The state machine records the current stage, attempt, input version, output version, policy decision and actor. Suggested states are: CREATED, INTAKE_VALIDATED, DORMANCY_ASSESSED, FRAMEWORK_BASELINED, ACE_ANALYSED, PLAN_APPROVED, IMPLEMENTING, BUILD_VALIDATED, DIFFERENTIAL_TESTING, VARIANCE_REVIEW, REMEDIATING, READY_FOR_PROMOTION, COMPLETED, STOPPED, ROLLED_BACK and FAILED.</w:t>
      </w:r>
    </w:p>
    <w:tbl>
      <w:tblPr>
        <w:tblStyle w:val="LightShading-Accent1"/>
        <w:tblW w:type="auto" w:w="0"/>
        <w:jc w:val="center"/>
        <w:tblLook w:firstColumn="1" w:firstRow="1" w:lastColumn="0" w:lastRow="0" w:noHBand="0" w:noVBand="1" w:val="04A0"/>
      </w:tblPr>
      <w:tblGrid>
        <w:gridCol w:w="5040"/>
        <w:gridCol w:w="5040"/>
      </w:tblGrid>
      <w:tr>
        <w:tc>
          <w:tcPr>
            <w:tcW w:type="dxa" w:w="5040"/>
            <w:shd w:fill="17365D"/>
          </w:tcPr>
          <w:p>
            <w:r>
              <w:rPr>
                <w:b/>
                <w:color w:val="FFFFFF"/>
              </w:rPr>
              <w:t>Stage</w:t>
            </w:r>
          </w:p>
        </w:tc>
        <w:tc>
          <w:tcPr>
            <w:tcW w:type="dxa" w:w="5040"/>
            <w:shd w:fill="17365D"/>
          </w:tcPr>
          <w:p>
            <w:r>
              <w:rPr>
                <w:b/>
                <w:color w:val="FFFFFF"/>
              </w:rPr>
              <w:t>Detailed Behaviour</w:t>
            </w:r>
          </w:p>
        </w:tc>
      </w:tr>
      <w:tr>
        <w:tc>
          <w:tcPr>
            <w:tcW w:type="dxa" w:w="5040"/>
            <w:vAlign w:val="center"/>
          </w:tcPr>
          <w:p>
            <w:r>
              <w:t>1. Intake</w:t>
            </w:r>
          </w:p>
        </w:tc>
        <w:tc>
          <w:tcPr>
            <w:tcW w:type="dxa" w:w="5040"/>
            <w:vAlign w:val="center"/>
          </w:tcPr>
          <w:p>
            <w:r>
              <w:t>Clone or receive repository references, validate permissions, identify ACE and target framework inputs, create immutable source baseline.</w:t>
            </w:r>
          </w:p>
        </w:tc>
      </w:tr>
      <w:tr>
        <w:tc>
          <w:tcPr>
            <w:tcW w:type="dxa" w:w="5040"/>
            <w:vAlign w:val="center"/>
          </w:tcPr>
          <w:p>
            <w:r>
              <w:t>2. Optional dormancy assessment</w:t>
            </w:r>
          </w:p>
        </w:tc>
        <w:tc>
          <w:tcPr>
            <w:tcW w:type="dxa" w:w="5040"/>
            <w:vAlign w:val="center"/>
          </w:tcPr>
          <w:p>
            <w:r>
              <w:t>Collect traffic and migration evidence. Classify as active, dormant, inactive, already migrated or unknown. Unknown is not converted into a guessed decision.</w:t>
            </w:r>
          </w:p>
        </w:tc>
      </w:tr>
      <w:tr>
        <w:tc>
          <w:tcPr>
            <w:tcW w:type="dxa" w:w="5040"/>
            <w:vAlign w:val="center"/>
          </w:tcPr>
          <w:p>
            <w:r>
              <w:t>3. Framework baseline</w:t>
            </w:r>
          </w:p>
        </w:tc>
        <w:tc>
          <w:tcPr>
            <w:tcW w:type="dxa" w:w="5040"/>
            <w:vAlign w:val="center"/>
          </w:tcPr>
          <w:p>
            <w:r>
              <w:t>Extract the approved target conventions and generate framework-template.md. Conflicts and missing standards are highlighted for Gate 1.</w:t>
            </w:r>
          </w:p>
        </w:tc>
      </w:tr>
      <w:tr>
        <w:tc>
          <w:tcPr>
            <w:tcW w:type="dxa" w:w="5040"/>
            <w:vAlign w:val="center"/>
          </w:tcPr>
          <w:p>
            <w:r>
              <w:t>4. ACE analysis</w:t>
            </w:r>
          </w:p>
        </w:tc>
        <w:tc>
          <w:tcPr>
            <w:tcW w:type="dxa" w:w="5040"/>
            <w:vAlign w:val="center"/>
          </w:tcPr>
          <w:p>
            <w:r>
              <w:t>Build a machine-readable semantic model and a human analysis document. Produce migration-specification.yaml validated against a formal schema.</w:t>
            </w:r>
          </w:p>
        </w:tc>
      </w:tr>
      <w:tr>
        <w:tc>
          <w:tcPr>
            <w:tcW w:type="dxa" w:w="5040"/>
            <w:vAlign w:val="center"/>
          </w:tcPr>
          <w:p>
            <w:r>
              <w:t>5. Migration planning</w:t>
            </w:r>
          </w:p>
        </w:tc>
        <w:tc>
          <w:tcPr>
            <w:tcW w:type="dxa" w:w="5040"/>
            <w:vAlign w:val="center"/>
          </w:tcPr>
          <w:p>
            <w:r>
              <w:t>Map source behaviour to approved target patterns, identify unsupported constructs, dependencies, risks, tests and implementation sequence.</w:t>
            </w:r>
          </w:p>
        </w:tc>
      </w:tr>
      <w:tr>
        <w:tc>
          <w:tcPr>
            <w:tcW w:type="dxa" w:w="5040"/>
            <w:vAlign w:val="center"/>
          </w:tcPr>
          <w:p>
            <w:r>
              <w:t>6. Implementation</w:t>
            </w:r>
          </w:p>
        </w:tc>
        <w:tc>
          <w:tcPr>
            <w:tcW w:type="dxa" w:w="5040"/>
            <w:vAlign w:val="center"/>
          </w:tcPr>
          <w:p>
            <w:r>
              <w:t>Create code in a controlled branch, preserve provenance, compile continuously and reject prohibited hard-coding patterns.</w:t>
            </w:r>
          </w:p>
        </w:tc>
      </w:tr>
      <w:tr>
        <w:tc>
          <w:tcPr>
            <w:tcW w:type="dxa" w:w="5040"/>
            <w:vAlign w:val="center"/>
          </w:tcPr>
          <w:p>
            <w:r>
              <w:t>7. Differential validation</w:t>
            </w:r>
          </w:p>
        </w:tc>
        <w:tc>
          <w:tcPr>
            <w:tcW w:type="dxa" w:w="5040"/>
            <w:vAlign w:val="center"/>
          </w:tcPr>
          <w:p>
            <w:r>
              <w:t>Replay equivalent inputs against ACE and Spring Boot, normalise approved non-functional differences, and capture complete evidence.</w:t>
            </w:r>
          </w:p>
        </w:tc>
      </w:tr>
      <w:tr>
        <w:tc>
          <w:tcPr>
            <w:tcW w:type="dxa" w:w="5040"/>
            <w:vAlign w:val="center"/>
          </w:tcPr>
          <w:p>
            <w:r>
              <w:t>8. RCA and feedback</w:t>
            </w:r>
          </w:p>
        </w:tc>
        <w:tc>
          <w:tcPr>
            <w:tcW w:type="dxa" w:w="5040"/>
            <w:vAlign w:val="center"/>
          </w:tcPr>
          <w:p>
            <w:r>
              <w:t>Cluster differences, generate evidence-backed hypotheses, score confidence and either patch safely or request clarification/ACE inspection.</w:t>
            </w:r>
          </w:p>
        </w:tc>
      </w:tr>
      <w:tr>
        <w:tc>
          <w:tcPr>
            <w:tcW w:type="dxa" w:w="5040"/>
            <w:vAlign w:val="center"/>
          </w:tcPr>
          <w:p>
            <w:r>
              <w:t>9. Revalidation</w:t>
            </w:r>
          </w:p>
        </w:tc>
        <w:tc>
          <w:tcPr>
            <w:tcW w:type="dxa" w:w="5040"/>
            <w:vAlign w:val="center"/>
          </w:tcPr>
          <w:p>
            <w:r>
              <w:t>Run the complete relevant test set after each patch. Continue until all required tests pass or a human stops the cycle.</w:t>
            </w:r>
          </w:p>
        </w:tc>
      </w:tr>
      <w:tr>
        <w:tc>
          <w:tcPr>
            <w:tcW w:type="dxa" w:w="5040"/>
            <w:vAlign w:val="center"/>
          </w:tcPr>
          <w:p>
            <w:r>
              <w:t>10. Promotion and rollback</w:t>
            </w:r>
          </w:p>
        </w:tc>
        <w:tc>
          <w:tcPr>
            <w:tcW w:type="dxa" w:w="5040"/>
            <w:vAlign w:val="center"/>
          </w:tcPr>
          <w:p>
            <w:r>
              <w:t>Package code, configuration, tests, evidence and approvals. Tag the accepted revision and retain one-click restoration to any prior snapshot.</w:t>
            </w:r>
          </w:p>
        </w:tc>
      </w:tr>
    </w:tbl>
    <w:p>
      <w:pPr>
        <w:pStyle w:val="Heading1"/>
      </w:pPr>
      <w:r>
        <w:t>6. Agent Catalogue</w:t>
      </w:r>
    </w:p>
    <w:tbl>
      <w:tblPr>
        <w:tblStyle w:val="LightShading-Accent1"/>
        <w:tblW w:type="auto" w:w="0"/>
        <w:jc w:val="center"/>
        <w:tblLook w:firstColumn="1" w:firstRow="1" w:lastColumn="0" w:lastRow="0" w:noHBand="0" w:noVBand="1" w:val="04A0"/>
      </w:tblPr>
      <w:tblGrid>
        <w:gridCol w:w="2520"/>
        <w:gridCol w:w="2520"/>
        <w:gridCol w:w="2520"/>
        <w:gridCol w:w="2520"/>
      </w:tblGrid>
      <w:tr>
        <w:tc>
          <w:tcPr>
            <w:tcW w:type="dxa" w:w="2520"/>
            <w:shd w:fill="17365D"/>
          </w:tcPr>
          <w:p>
            <w:r>
              <w:rPr>
                <w:b/>
                <w:color w:val="FFFFFF"/>
              </w:rPr>
              <w:t>Agent</w:t>
            </w:r>
          </w:p>
        </w:tc>
        <w:tc>
          <w:tcPr>
            <w:tcW w:type="dxa" w:w="2520"/>
            <w:shd w:fill="17365D"/>
          </w:tcPr>
          <w:p>
            <w:r>
              <w:rPr>
                <w:b/>
                <w:color w:val="FFFFFF"/>
              </w:rPr>
              <w:t>Responsibility</w:t>
            </w:r>
          </w:p>
        </w:tc>
        <w:tc>
          <w:tcPr>
            <w:tcW w:type="dxa" w:w="2520"/>
            <w:shd w:fill="17365D"/>
          </w:tcPr>
          <w:p>
            <w:r>
              <w:rPr>
                <w:b/>
                <w:color w:val="FFFFFF"/>
              </w:rPr>
              <w:t>Inputs</w:t>
            </w:r>
          </w:p>
        </w:tc>
        <w:tc>
          <w:tcPr>
            <w:tcW w:type="dxa" w:w="2520"/>
            <w:shd w:fill="17365D"/>
          </w:tcPr>
          <w:p>
            <w:r>
              <w:rPr>
                <w:b/>
                <w:color w:val="FFFFFF"/>
              </w:rPr>
              <w:t>Outputs</w:t>
            </w:r>
          </w:p>
        </w:tc>
      </w:tr>
      <w:tr>
        <w:tc>
          <w:tcPr>
            <w:tcW w:type="dxa" w:w="2520"/>
            <w:vAlign w:val="center"/>
          </w:tcPr>
          <w:p>
            <w:r>
              <w:t>Migration Orchestrator Agent</w:t>
            </w:r>
          </w:p>
        </w:tc>
        <w:tc>
          <w:tcPr>
            <w:tcW w:type="dxa" w:w="2520"/>
            <w:vAlign w:val="center"/>
          </w:tcPr>
          <w:p>
            <w:r>
              <w:t>Decomposes the lifecycle, selects agents/tools, checks preconditions and records state. It never approves its own output.</w:t>
            </w:r>
          </w:p>
        </w:tc>
        <w:tc>
          <w:tcPr>
            <w:tcW w:type="dxa" w:w="2520"/>
            <w:vAlign w:val="center"/>
          </w:tcPr>
          <w:p>
            <w:r>
              <w:t>Job state, policies, approved artefacts</w:t>
            </w:r>
          </w:p>
        </w:tc>
        <w:tc>
          <w:tcPr>
            <w:tcW w:type="dxa" w:w="2520"/>
            <w:vAlign w:val="center"/>
          </w:tcPr>
          <w:p>
            <w:r>
              <w:t>Commands, next-state proposal, clarification request</w:t>
            </w:r>
          </w:p>
        </w:tc>
      </w:tr>
      <w:tr>
        <w:tc>
          <w:tcPr>
            <w:tcW w:type="dxa" w:w="2520"/>
            <w:vAlign w:val="center"/>
          </w:tcPr>
          <w:p>
            <w:r>
              <w:t>Repository Intake Agent</w:t>
            </w:r>
          </w:p>
        </w:tc>
        <w:tc>
          <w:tcPr>
            <w:tcW w:type="dxa" w:w="2520"/>
            <w:vAlign w:val="center"/>
          </w:tcPr>
          <w:p>
            <w:r>
              <w:t>Inventories repositories and validates that required artefacts are accessible.</w:t>
            </w:r>
          </w:p>
        </w:tc>
        <w:tc>
          <w:tcPr>
            <w:tcW w:type="dxa" w:w="2520"/>
            <w:vAlign w:val="center"/>
          </w:tcPr>
          <w:p>
            <w:r>
              <w:t>Repository references and credentials by secret reference</w:t>
            </w:r>
          </w:p>
        </w:tc>
        <w:tc>
          <w:tcPr>
            <w:tcW w:type="dxa" w:w="2520"/>
            <w:vAlign w:val="center"/>
          </w:tcPr>
          <w:p>
            <w:r>
              <w:t>Intake manifest and gaps</w:t>
            </w:r>
          </w:p>
        </w:tc>
      </w:tr>
      <w:tr>
        <w:tc>
          <w:tcPr>
            <w:tcW w:type="dxa" w:w="2520"/>
            <w:vAlign w:val="center"/>
          </w:tcPr>
          <w:p>
            <w:r>
              <w:t>Dormancy Intelligence Agent</w:t>
            </w:r>
          </w:p>
        </w:tc>
        <w:tc>
          <w:tcPr>
            <w:tcW w:type="dxa" w:w="2520"/>
            <w:vAlign w:val="center"/>
          </w:tcPr>
          <w:p>
            <w:r>
              <w:t>Combines production-traffic evidence, last-seen signals and migration registry evidence.</w:t>
            </w:r>
          </w:p>
        </w:tc>
        <w:tc>
          <w:tcPr>
            <w:tcW w:type="dxa" w:w="2520"/>
            <w:vAlign w:val="center"/>
          </w:tcPr>
          <w:p>
            <w:r>
              <w:t>Telemetry, deployment inventory, service registry</w:t>
            </w:r>
          </w:p>
        </w:tc>
        <w:tc>
          <w:tcPr>
            <w:tcW w:type="dxa" w:w="2520"/>
            <w:vAlign w:val="center"/>
          </w:tcPr>
          <w:p>
            <w:r>
              <w:t>Classification, evidence and confidence</w:t>
            </w:r>
          </w:p>
        </w:tc>
      </w:tr>
      <w:tr>
        <w:tc>
          <w:tcPr>
            <w:tcW w:type="dxa" w:w="2520"/>
            <w:vAlign w:val="center"/>
          </w:tcPr>
          <w:p>
            <w:r>
              <w:t>Framework Baseline Agent</w:t>
            </w:r>
          </w:p>
        </w:tc>
        <w:tc>
          <w:tcPr>
            <w:tcW w:type="dxa" w:w="2520"/>
            <w:vAlign w:val="center"/>
          </w:tcPr>
          <w:p>
            <w:r>
              <w:t>Discovers Spring Boot conventions and generates the controlled standard template.</w:t>
            </w:r>
          </w:p>
        </w:tc>
        <w:tc>
          <w:tcPr>
            <w:tcW w:type="dxa" w:w="2520"/>
            <w:vAlign w:val="center"/>
          </w:tcPr>
          <w:p>
            <w:r>
              <w:t>Reference repos and architecture standards</w:t>
            </w:r>
          </w:p>
        </w:tc>
        <w:tc>
          <w:tcPr>
            <w:tcW w:type="dxa" w:w="2520"/>
            <w:vAlign w:val="center"/>
          </w:tcPr>
          <w:p>
            <w:r>
              <w:t>framework-template.md and conflicts</w:t>
            </w:r>
          </w:p>
        </w:tc>
      </w:tr>
      <w:tr>
        <w:tc>
          <w:tcPr>
            <w:tcW w:type="dxa" w:w="2520"/>
            <w:vAlign w:val="center"/>
          </w:tcPr>
          <w:p>
            <w:r>
              <w:t>ACE Analysis Agent</w:t>
            </w:r>
          </w:p>
        </w:tc>
        <w:tc>
          <w:tcPr>
            <w:tcW w:type="dxa" w:w="2520"/>
            <w:vAlign w:val="center"/>
          </w:tcPr>
          <w:p>
            <w:r>
              <w:t>Builds a semantic representation of flows, ESQL, maps, schemas, policies and dependencies.</w:t>
            </w:r>
          </w:p>
        </w:tc>
        <w:tc>
          <w:tcPr>
            <w:tcW w:type="dxa" w:w="2520"/>
            <w:vAlign w:val="center"/>
          </w:tcPr>
          <w:p>
            <w:r>
              <w:t>ACE repository snapshot</w:t>
            </w:r>
          </w:p>
        </w:tc>
        <w:tc>
          <w:tcPr>
            <w:tcW w:type="dxa" w:w="2520"/>
            <w:vAlign w:val="center"/>
          </w:tcPr>
          <w:p>
            <w:r>
              <w:t>Analysis document, semantic model and ambiguities</w:t>
            </w:r>
          </w:p>
        </w:tc>
      </w:tr>
      <w:tr>
        <w:tc>
          <w:tcPr>
            <w:tcW w:type="dxa" w:w="2520"/>
            <w:vAlign w:val="center"/>
          </w:tcPr>
          <w:p>
            <w:r>
              <w:t>Migration Specification Agent</w:t>
            </w:r>
          </w:p>
        </w:tc>
        <w:tc>
          <w:tcPr>
            <w:tcW w:type="dxa" w:w="2520"/>
            <w:vAlign w:val="center"/>
          </w:tcPr>
          <w:p>
            <w:r>
              <w:t>Transforms analysis into schema-valid YAML without inventing missing values.</w:t>
            </w:r>
          </w:p>
        </w:tc>
        <w:tc>
          <w:tcPr>
            <w:tcW w:type="dxa" w:w="2520"/>
            <w:vAlign w:val="center"/>
          </w:tcPr>
          <w:p>
            <w:r>
              <w:t>Semantic model and approved defaults</w:t>
            </w:r>
          </w:p>
        </w:tc>
        <w:tc>
          <w:tcPr>
            <w:tcW w:type="dxa" w:w="2520"/>
            <w:vAlign w:val="center"/>
          </w:tcPr>
          <w:p>
            <w:r>
              <w:t>migration-specification.yaml</w:t>
            </w:r>
          </w:p>
        </w:tc>
      </w:tr>
      <w:tr>
        <w:tc>
          <w:tcPr>
            <w:tcW w:type="dxa" w:w="2520"/>
            <w:vAlign w:val="center"/>
          </w:tcPr>
          <w:p>
            <w:r>
              <w:t>Planning Agent</w:t>
            </w:r>
          </w:p>
        </w:tc>
        <w:tc>
          <w:tcPr>
            <w:tcW w:type="dxa" w:w="2520"/>
            <w:vAlign w:val="center"/>
          </w:tcPr>
          <w:p>
            <w:r>
              <w:t>Creates a traceable source-to-target implementation plan.</w:t>
            </w:r>
          </w:p>
        </w:tc>
        <w:tc>
          <w:tcPr>
            <w:tcW w:type="dxa" w:w="2520"/>
            <w:vAlign w:val="center"/>
          </w:tcPr>
          <w:p>
            <w:r>
              <w:t>Approved analysis, YAML and framework template</w:t>
            </w:r>
          </w:p>
        </w:tc>
        <w:tc>
          <w:tcPr>
            <w:tcW w:type="dxa" w:w="2520"/>
            <w:vAlign w:val="center"/>
          </w:tcPr>
          <w:p>
            <w:r>
              <w:t>Plan, task graph, mapping and risk register</w:t>
            </w:r>
          </w:p>
        </w:tc>
      </w:tr>
      <w:tr>
        <w:tc>
          <w:tcPr>
            <w:tcW w:type="dxa" w:w="2520"/>
            <w:vAlign w:val="center"/>
          </w:tcPr>
          <w:p>
            <w:r>
              <w:t>Code Generation Agent</w:t>
            </w:r>
          </w:p>
        </w:tc>
        <w:tc>
          <w:tcPr>
            <w:tcW w:type="dxa" w:w="2520"/>
            <w:vAlign w:val="center"/>
          </w:tcPr>
          <w:p>
            <w:r>
              <w:t>Generates or modifies Spring Boot code using constrained templates and approved mappings.</w:t>
            </w:r>
          </w:p>
        </w:tc>
        <w:tc>
          <w:tcPr>
            <w:tcW w:type="dxa" w:w="2520"/>
            <w:vAlign w:val="center"/>
          </w:tcPr>
          <w:p>
            <w:r>
              <w:t>Approved plan and target template</w:t>
            </w:r>
          </w:p>
        </w:tc>
        <w:tc>
          <w:tcPr>
            <w:tcW w:type="dxa" w:w="2520"/>
            <w:vAlign w:val="center"/>
          </w:tcPr>
          <w:p>
            <w:r>
              <w:t>Source code, tests, manifest and provenance</w:t>
            </w:r>
          </w:p>
        </w:tc>
      </w:tr>
      <w:tr>
        <w:tc>
          <w:tcPr>
            <w:tcW w:type="dxa" w:w="2520"/>
            <w:vAlign w:val="center"/>
          </w:tcPr>
          <w:p>
            <w:r>
              <w:t>Test Engineering Agent</w:t>
            </w:r>
          </w:p>
        </w:tc>
        <w:tc>
          <w:tcPr>
            <w:tcW w:type="dxa" w:w="2520"/>
            <w:vAlign w:val="center"/>
          </w:tcPr>
          <w:p>
            <w:r>
              <w:t>Derives test scenarios, orchestrates replay and records evidence.</w:t>
            </w:r>
          </w:p>
        </w:tc>
        <w:tc>
          <w:tcPr>
            <w:tcW w:type="dxa" w:w="2520"/>
            <w:vAlign w:val="center"/>
          </w:tcPr>
          <w:p>
            <w:r>
              <w:t>Behaviour model, test data and endpoint adapters</w:t>
            </w:r>
          </w:p>
        </w:tc>
        <w:tc>
          <w:tcPr>
            <w:tcW w:type="dxa" w:w="2520"/>
            <w:vAlign w:val="center"/>
          </w:tcPr>
          <w:p>
            <w:r>
              <w:t>Test suites and execution evidence</w:t>
            </w:r>
          </w:p>
        </w:tc>
      </w:tr>
      <w:tr>
        <w:tc>
          <w:tcPr>
            <w:tcW w:type="dxa" w:w="2520"/>
            <w:vAlign w:val="center"/>
          </w:tcPr>
          <w:p>
            <w:r>
              <w:t>Variance Analysis Agent</w:t>
            </w:r>
          </w:p>
        </w:tc>
        <w:tc>
          <w:tcPr>
            <w:tcW w:type="dxa" w:w="2520"/>
            <w:vAlign w:val="center"/>
          </w:tcPr>
          <w:p>
            <w:r>
              <w:t>Compares outputs using structural, field, sequence and semantic policies.</w:t>
            </w:r>
          </w:p>
        </w:tc>
        <w:tc>
          <w:tcPr>
            <w:tcW w:type="dxa" w:w="2520"/>
            <w:vAlign w:val="center"/>
          </w:tcPr>
          <w:p>
            <w:r>
              <w:t>ACE and Java results</w:t>
            </w:r>
          </w:p>
        </w:tc>
        <w:tc>
          <w:tcPr>
            <w:tcW w:type="dxa" w:w="2520"/>
            <w:vAlign w:val="center"/>
          </w:tcPr>
          <w:p>
            <w:r>
              <w:t>Variance records and severity</w:t>
            </w:r>
          </w:p>
        </w:tc>
      </w:tr>
      <w:tr>
        <w:tc>
          <w:tcPr>
            <w:tcW w:type="dxa" w:w="2520"/>
            <w:vAlign w:val="center"/>
          </w:tcPr>
          <w:p>
            <w:r>
              <w:t>RCA Agent</w:t>
            </w:r>
          </w:p>
        </w:tc>
        <w:tc>
          <w:tcPr>
            <w:tcW w:type="dxa" w:w="2520"/>
            <w:vAlign w:val="center"/>
          </w:tcPr>
          <w:p>
            <w:r>
              <w:t>Builds evidence-backed root-cause hypotheses for each variance.</w:t>
            </w:r>
          </w:p>
        </w:tc>
        <w:tc>
          <w:tcPr>
            <w:tcW w:type="dxa" w:w="2520"/>
            <w:vAlign w:val="center"/>
          </w:tcPr>
          <w:p>
            <w:r>
              <w:t>Variance, logs, code and analysis</w:t>
            </w:r>
          </w:p>
        </w:tc>
        <w:tc>
          <w:tcPr>
            <w:tcW w:type="dxa" w:w="2520"/>
            <w:vAlign w:val="center"/>
          </w:tcPr>
          <w:p>
            <w:r>
              <w:t>RCA hypotheses, confidence and missing evidence</w:t>
            </w:r>
          </w:p>
        </w:tc>
      </w:tr>
      <w:tr>
        <w:tc>
          <w:tcPr>
            <w:tcW w:type="dxa" w:w="2520"/>
            <w:vAlign w:val="center"/>
          </w:tcPr>
          <w:p>
            <w:r>
              <w:t>Remediation Agent</w:t>
            </w:r>
          </w:p>
        </w:tc>
        <w:tc>
          <w:tcPr>
            <w:tcW w:type="dxa" w:w="2520"/>
            <w:vAlign w:val="center"/>
          </w:tcPr>
          <w:p>
            <w:r>
              <w:t>Creates scoped patches only when eligible; otherwise raises clarification.</w:t>
            </w:r>
          </w:p>
        </w:tc>
        <w:tc>
          <w:tcPr>
            <w:tcW w:type="dxa" w:w="2520"/>
            <w:vAlign w:val="center"/>
          </w:tcPr>
          <w:p>
            <w:r>
              <w:t>Approved RCA and policy</w:t>
            </w:r>
          </w:p>
        </w:tc>
        <w:tc>
          <w:tcPr>
            <w:tcW w:type="dxa" w:w="2520"/>
            <w:vAlign w:val="center"/>
          </w:tcPr>
          <w:p>
            <w:r>
              <w:t>Patch plan, code changes and tests</w:t>
            </w:r>
          </w:p>
        </w:tc>
      </w:tr>
      <w:tr>
        <w:tc>
          <w:tcPr>
            <w:tcW w:type="dxa" w:w="2520"/>
            <w:vAlign w:val="center"/>
          </w:tcPr>
          <w:p>
            <w:r>
              <w:t>Governance Agent</w:t>
            </w:r>
          </w:p>
        </w:tc>
        <w:tc>
          <w:tcPr>
            <w:tcW w:type="dxa" w:w="2520"/>
            <w:vAlign w:val="center"/>
          </w:tcPr>
          <w:p>
            <w:r>
              <w:t>Enforces gate, evidence, retention, model and risk policies.</w:t>
            </w:r>
          </w:p>
        </w:tc>
        <w:tc>
          <w:tcPr>
            <w:tcW w:type="dxa" w:w="2520"/>
            <w:vAlign w:val="center"/>
          </w:tcPr>
          <w:p>
            <w:r>
              <w:t>Policies and lifecycle events</w:t>
            </w:r>
          </w:p>
        </w:tc>
        <w:tc>
          <w:tcPr>
            <w:tcW w:type="dxa" w:w="2520"/>
            <w:vAlign w:val="center"/>
          </w:tcPr>
          <w:p>
            <w:r>
              <w:t>Allow, deny, require approval or require evidence</w:t>
            </w:r>
          </w:p>
        </w:tc>
      </w:tr>
      <w:tr>
        <w:tc>
          <w:tcPr>
            <w:tcW w:type="dxa" w:w="2520"/>
            <w:vAlign w:val="center"/>
          </w:tcPr>
          <w:p>
            <w:r>
              <w:t>Knowledge and Evidence Agent</w:t>
            </w:r>
          </w:p>
        </w:tc>
        <w:tc>
          <w:tcPr>
            <w:tcW w:type="dxa" w:w="2520"/>
            <w:vAlign w:val="center"/>
          </w:tcPr>
          <w:p>
            <w:r>
              <w:t>Indexes approved artefacts and retrieves source-grounded context.</w:t>
            </w:r>
          </w:p>
        </w:tc>
        <w:tc>
          <w:tcPr>
            <w:tcW w:type="dxa" w:w="2520"/>
            <w:vAlign w:val="center"/>
          </w:tcPr>
          <w:p>
            <w:r>
              <w:t>Versioned artefacts and metadata</w:t>
            </w:r>
          </w:p>
        </w:tc>
        <w:tc>
          <w:tcPr>
            <w:tcW w:type="dxa" w:w="2520"/>
            <w:vAlign w:val="center"/>
          </w:tcPr>
          <w:p>
            <w:r>
              <w:t>Cited context with version lineage</w:t>
            </w:r>
          </w:p>
        </w:tc>
      </w:tr>
    </w:tbl>
    <w:p>
      <w:pPr>
        <w:pStyle w:val="Heading1"/>
      </w:pPr>
      <w:r>
        <w:t>7. Human-in-the-Loop and Clarification Design</w:t>
      </w:r>
    </w:p>
    <w:p>
      <w:r>
        <w:t>A human gate is a policy-controlled workflow node, not a hard-coded UI pause. Each gate contains an enablement flag, approver role, quorum, timeout, escalation path, permitted decisions, required evidence, bypass authority and downstream effect. Disabling a gate removes the approval wait but does not stop artefact generation or audit logging.</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shd w:fill="17365D"/>
          </w:tcPr>
          <w:p>
            <w:r>
              <w:rPr>
                <w:b/>
                <w:color w:val="FFFFFF"/>
              </w:rPr>
              <w:t>Gate</w:t>
            </w:r>
          </w:p>
        </w:tc>
        <w:tc>
          <w:tcPr>
            <w:tcW w:type="dxa" w:w="3360"/>
            <w:shd w:fill="17365D"/>
          </w:tcPr>
          <w:p>
            <w:r>
              <w:rPr>
                <w:b/>
                <w:color w:val="FFFFFF"/>
              </w:rPr>
              <w:t>Purpose</w:t>
            </w:r>
          </w:p>
        </w:tc>
        <w:tc>
          <w:tcPr>
            <w:tcW w:type="dxa" w:w="3360"/>
            <w:shd w:fill="17365D"/>
          </w:tcPr>
          <w:p>
            <w:r>
              <w:rPr>
                <w:b/>
                <w:color w:val="FFFFFF"/>
              </w:rPr>
              <w:t>Default Decision Options</w:t>
            </w:r>
          </w:p>
        </w:tc>
      </w:tr>
      <w:tr>
        <w:tc>
          <w:tcPr>
            <w:tcW w:type="dxa" w:w="3360"/>
            <w:vAlign w:val="center"/>
          </w:tcPr>
          <w:p>
            <w:r>
              <w:t>G0 Dormancy</w:t>
            </w:r>
          </w:p>
        </w:tc>
        <w:tc>
          <w:tcPr>
            <w:tcW w:type="dxa" w:w="3360"/>
            <w:vAlign w:val="center"/>
          </w:tcPr>
          <w:p>
            <w:r>
              <w:t>After production evidence assessment</w:t>
            </w:r>
          </w:p>
        </w:tc>
        <w:tc>
          <w:tcPr>
            <w:tcW w:type="dxa" w:w="3360"/>
            <w:vAlign w:val="center"/>
          </w:tcPr>
          <w:p>
            <w:r>
              <w:t>Proceed; Stop; Clarify</w:t>
            </w:r>
          </w:p>
        </w:tc>
      </w:tr>
      <w:tr>
        <w:tc>
          <w:tcPr>
            <w:tcW w:type="dxa" w:w="3360"/>
            <w:vAlign w:val="center"/>
          </w:tcPr>
          <w:p>
            <w:r>
              <w:t>G1 Framework Baseline</w:t>
            </w:r>
          </w:p>
        </w:tc>
        <w:tc>
          <w:tcPr>
            <w:tcW w:type="dxa" w:w="3360"/>
            <w:vAlign w:val="center"/>
          </w:tcPr>
          <w:p>
            <w:r>
              <w:t>After framework-template.md generation</w:t>
            </w:r>
          </w:p>
        </w:tc>
        <w:tc>
          <w:tcPr>
            <w:tcW w:type="dxa" w:w="3360"/>
            <w:vAlign w:val="center"/>
          </w:tcPr>
          <w:p>
            <w:r>
              <w:t>Approve; Reject; Clarify</w:t>
            </w:r>
          </w:p>
        </w:tc>
      </w:tr>
      <w:tr>
        <w:tc>
          <w:tcPr>
            <w:tcW w:type="dxa" w:w="3360"/>
            <w:vAlign w:val="center"/>
          </w:tcPr>
          <w:p>
            <w:r>
              <w:t>G2 Analysis</w:t>
            </w:r>
          </w:p>
        </w:tc>
        <w:tc>
          <w:tcPr>
            <w:tcW w:type="dxa" w:w="3360"/>
            <w:vAlign w:val="center"/>
          </w:tcPr>
          <w:p>
            <w:r>
              <w:t>After analysis document and migration YAML</w:t>
            </w:r>
          </w:p>
        </w:tc>
        <w:tc>
          <w:tcPr>
            <w:tcW w:type="dxa" w:w="3360"/>
            <w:vAlign w:val="center"/>
          </w:tcPr>
          <w:p>
            <w:r>
              <w:t>Approve; Reject; Clarify</w:t>
            </w:r>
          </w:p>
        </w:tc>
      </w:tr>
      <w:tr>
        <w:tc>
          <w:tcPr>
            <w:tcW w:type="dxa" w:w="3360"/>
            <w:vAlign w:val="center"/>
          </w:tcPr>
          <w:p>
            <w:r>
              <w:t>G3 Plan</w:t>
            </w:r>
          </w:p>
        </w:tc>
        <w:tc>
          <w:tcPr>
            <w:tcW w:type="dxa" w:w="3360"/>
            <w:vAlign w:val="center"/>
          </w:tcPr>
          <w:p>
            <w:r>
              <w:t>Before code generation</w:t>
            </w:r>
          </w:p>
        </w:tc>
        <w:tc>
          <w:tcPr>
            <w:tcW w:type="dxa" w:w="3360"/>
            <w:vAlign w:val="center"/>
          </w:tcPr>
          <w:p>
            <w:r>
              <w:t>Approve; Reject; Clarify</w:t>
            </w:r>
          </w:p>
        </w:tc>
      </w:tr>
      <w:tr>
        <w:tc>
          <w:tcPr>
            <w:tcW w:type="dxa" w:w="3360"/>
            <w:vAlign w:val="center"/>
          </w:tcPr>
          <w:p>
            <w:r>
              <w:t>G4 Variance</w:t>
            </w:r>
          </w:p>
        </w:tc>
        <w:tc>
          <w:tcPr>
            <w:tcW w:type="dxa" w:w="3360"/>
            <w:vAlign w:val="center"/>
          </w:tcPr>
          <w:p>
            <w:r>
              <w:t>After differential tests</w:t>
            </w:r>
          </w:p>
        </w:tc>
        <w:tc>
          <w:tcPr>
            <w:tcW w:type="dxa" w:w="3360"/>
            <w:vAlign w:val="center"/>
          </w:tcPr>
          <w:p>
            <w:r>
              <w:t>Continue feedback; Stop; Accept exception</w:t>
            </w:r>
          </w:p>
        </w:tc>
      </w:tr>
      <w:tr>
        <w:tc>
          <w:tcPr>
            <w:tcW w:type="dxa" w:w="3360"/>
            <w:vAlign w:val="center"/>
          </w:tcPr>
          <w:p>
            <w:r>
              <w:t>G5 Iteration Exit</w:t>
            </w:r>
          </w:p>
        </w:tc>
        <w:tc>
          <w:tcPr>
            <w:tcW w:type="dxa" w:w="3360"/>
            <w:vAlign w:val="center"/>
          </w:tcPr>
          <w:p>
            <w:r>
              <w:t>After remediation iteration</w:t>
            </w:r>
          </w:p>
        </w:tc>
        <w:tc>
          <w:tcPr>
            <w:tcW w:type="dxa" w:w="3360"/>
            <w:vAlign w:val="center"/>
          </w:tcPr>
          <w:p>
            <w:r>
              <w:t>Repeat; Stop; Promote</w:t>
            </w:r>
          </w:p>
        </w:tc>
      </w:tr>
    </w:tbl>
    <w:p>
      <w:r>
        <w:t>Clarification handling is separate from approval. Any agent can emit a ClarificationRequired event containing the exact unknown, why it matters, affected artefacts, available evidence and allowed response type. The orchestrator pauses the affected branch, preserves state and resumes from the same checkpoint after an authorised answer is supplied. The answer is versioned and becomes an explicit input to subsequent steps.</w:t>
      </w:r>
    </w:p>
    <w:p>
      <w:pPr>
        <w:pStyle w:val="Heading1"/>
      </w:pPr>
      <w:r>
        <w:t>8. Core Data and Artefact Model</w:t>
      </w:r>
    </w:p>
    <w:tbl>
      <w:tblPr>
        <w:tblStyle w:val="LightShading-Accent1"/>
        <w:tblW w:type="auto" w:w="0"/>
        <w:jc w:val="center"/>
        <w:tblLook w:firstColumn="1" w:firstRow="1" w:lastColumn="0" w:lastRow="0" w:noHBand="0" w:noVBand="1" w:val="04A0"/>
      </w:tblPr>
      <w:tblGrid>
        <w:gridCol w:w="5040"/>
        <w:gridCol w:w="5040"/>
      </w:tblGrid>
      <w:tr>
        <w:tc>
          <w:tcPr>
            <w:tcW w:type="dxa" w:w="5040"/>
            <w:shd w:fill="17365D"/>
          </w:tcPr>
          <w:p>
            <w:r>
              <w:rPr>
                <w:b/>
                <w:color w:val="FFFFFF"/>
              </w:rPr>
              <w:t>Entity / Artefact</w:t>
            </w:r>
          </w:p>
        </w:tc>
        <w:tc>
          <w:tcPr>
            <w:tcW w:type="dxa" w:w="5040"/>
            <w:shd w:fill="17365D"/>
          </w:tcPr>
          <w:p>
            <w:r>
              <w:rPr>
                <w:b/>
                <w:color w:val="FFFFFF"/>
              </w:rPr>
              <w:t>Required Content</w:t>
            </w:r>
          </w:p>
        </w:tc>
      </w:tr>
      <w:tr>
        <w:tc>
          <w:tcPr>
            <w:tcW w:type="dxa" w:w="5040"/>
            <w:vAlign w:val="center"/>
          </w:tcPr>
          <w:p>
            <w:r>
              <w:t>MigrationJob</w:t>
            </w:r>
          </w:p>
        </w:tc>
        <w:tc>
          <w:tcPr>
            <w:tcW w:type="dxa" w:w="5040"/>
            <w:vAlign w:val="center"/>
          </w:tcPr>
          <w:p>
            <w:r>
              <w:t>Business identity, repositories, environments, selected pipeline, state and ownership.</w:t>
            </w:r>
          </w:p>
        </w:tc>
      </w:tr>
      <w:tr>
        <w:tc>
          <w:tcPr>
            <w:tcW w:type="dxa" w:w="5040"/>
            <w:vAlign w:val="center"/>
          </w:tcPr>
          <w:p>
            <w:r>
              <w:t>SourceSnapshot</w:t>
            </w:r>
          </w:p>
        </w:tc>
        <w:tc>
          <w:tcPr>
            <w:tcW w:type="dxa" w:w="5040"/>
            <w:vAlign w:val="center"/>
          </w:tcPr>
          <w:p>
            <w:r>
              <w:t>Immutable Git commit, ACE inventory, checksums and extraction tool versions.</w:t>
            </w:r>
          </w:p>
        </w:tc>
      </w:tr>
      <w:tr>
        <w:tc>
          <w:tcPr>
            <w:tcW w:type="dxa" w:w="5040"/>
            <w:vAlign w:val="center"/>
          </w:tcPr>
          <w:p>
            <w:r>
              <w:t>FrameworkTemplate</w:t>
            </w:r>
          </w:p>
        </w:tc>
        <w:tc>
          <w:tcPr>
            <w:tcW w:type="dxa" w:w="5040"/>
            <w:vAlign w:val="center"/>
          </w:tcPr>
          <w:p>
            <w:r>
              <w:t>Versioned target standards, mappings, quality rules and effective dates.</w:t>
            </w:r>
          </w:p>
        </w:tc>
      </w:tr>
      <w:tr>
        <w:tc>
          <w:tcPr>
            <w:tcW w:type="dxa" w:w="5040"/>
            <w:vAlign w:val="center"/>
          </w:tcPr>
          <w:p>
            <w:r>
              <w:t>AnalysisDocument</w:t>
            </w:r>
          </w:p>
        </w:tc>
        <w:tc>
          <w:tcPr>
            <w:tcW w:type="dxa" w:w="5040"/>
            <w:vAlign w:val="center"/>
          </w:tcPr>
          <w:p>
            <w:r>
              <w:t>Human-readable findings, dependencies, behaviours, ambiguities and risks.</w:t>
            </w:r>
          </w:p>
        </w:tc>
      </w:tr>
      <w:tr>
        <w:tc>
          <w:tcPr>
            <w:tcW w:type="dxa" w:w="5040"/>
            <w:vAlign w:val="center"/>
          </w:tcPr>
          <w:p>
            <w:r>
              <w:t>MigrationSpecification</w:t>
            </w:r>
          </w:p>
        </w:tc>
        <w:tc>
          <w:tcPr>
            <w:tcW w:type="dxa" w:w="5040"/>
            <w:vAlign w:val="center"/>
          </w:tcPr>
          <w:p>
            <w:r>
              <w:t>Schema-valid YAML defining source constructs, target patterns, tests and unresolved items.</w:t>
            </w:r>
          </w:p>
        </w:tc>
      </w:tr>
      <w:tr>
        <w:tc>
          <w:tcPr>
            <w:tcW w:type="dxa" w:w="5040"/>
            <w:vAlign w:val="center"/>
          </w:tcPr>
          <w:p>
            <w:r>
              <w:t>MigrationPlan</w:t>
            </w:r>
          </w:p>
        </w:tc>
        <w:tc>
          <w:tcPr>
            <w:tcW w:type="dxa" w:w="5040"/>
            <w:vAlign w:val="center"/>
          </w:tcPr>
          <w:p>
            <w:r>
              <w:t>Ordered tasks, traceability links, generated/hand-written boundaries and acceptance criteria.</w:t>
            </w:r>
          </w:p>
        </w:tc>
      </w:tr>
      <w:tr>
        <w:tc>
          <w:tcPr>
            <w:tcW w:type="dxa" w:w="5040"/>
            <w:vAlign w:val="center"/>
          </w:tcPr>
          <w:p>
            <w:r>
              <w:t>Iteration</w:t>
            </w:r>
          </w:p>
        </w:tc>
        <w:tc>
          <w:tcPr>
            <w:tcW w:type="dxa" w:w="5040"/>
            <w:vAlign w:val="center"/>
          </w:tcPr>
          <w:p>
            <w:r>
              <w:t>Parent baseline, code commit, applied changes, tests, variances, approvals and rollback pointer.</w:t>
            </w:r>
          </w:p>
        </w:tc>
      </w:tr>
      <w:tr>
        <w:tc>
          <w:tcPr>
            <w:tcW w:type="dxa" w:w="5040"/>
            <w:vAlign w:val="center"/>
          </w:tcPr>
          <w:p>
            <w:r>
              <w:t>TestEvidence</w:t>
            </w:r>
          </w:p>
        </w:tc>
        <w:tc>
          <w:tcPr>
            <w:tcW w:type="dxa" w:w="5040"/>
            <w:vAlign w:val="center"/>
          </w:tcPr>
          <w:p>
            <w:r>
              <w:t>Input reference, masked payload copy or vault pointer, ACE result, Java result, logs and comparator policy.</w:t>
            </w:r>
          </w:p>
        </w:tc>
      </w:tr>
      <w:tr>
        <w:tc>
          <w:tcPr>
            <w:tcW w:type="dxa" w:w="5040"/>
            <w:vAlign w:val="center"/>
          </w:tcPr>
          <w:p>
            <w:r>
              <w:t>Variance</w:t>
            </w:r>
          </w:p>
        </w:tc>
        <w:tc>
          <w:tcPr>
            <w:tcW w:type="dxa" w:w="5040"/>
            <w:vAlign w:val="center"/>
          </w:tcPr>
          <w:p>
            <w:r>
              <w:t>Path, expected/actual values, normalisation, severity, classification and disposition.</w:t>
            </w:r>
          </w:p>
        </w:tc>
      </w:tr>
      <w:tr>
        <w:tc>
          <w:tcPr>
            <w:tcW w:type="dxa" w:w="5040"/>
            <w:vAlign w:val="center"/>
          </w:tcPr>
          <w:p>
            <w:r>
              <w:t>ApprovalRecord</w:t>
            </w:r>
          </w:p>
        </w:tc>
        <w:tc>
          <w:tcPr>
            <w:tcW w:type="dxa" w:w="5040"/>
            <w:vAlign w:val="center"/>
          </w:tcPr>
          <w:p>
            <w:r>
              <w:t>Gate, decision, actor, timestamp, comment, conditions and artefact hashes.</w:t>
            </w:r>
          </w:p>
        </w:tc>
      </w:tr>
      <w:tr>
        <w:tc>
          <w:tcPr>
            <w:tcW w:type="dxa" w:w="5040"/>
            <w:vAlign w:val="center"/>
          </w:tcPr>
          <w:p>
            <w:r>
              <w:t>AuditEvent</w:t>
            </w:r>
          </w:p>
        </w:tc>
        <w:tc>
          <w:tcPr>
            <w:tcW w:type="dxa" w:w="5040"/>
            <w:vAlign w:val="center"/>
          </w:tcPr>
          <w:p>
            <w:r>
              <w:t>Actor or agent, action, input/output versions, policy decision, correlation ID and timestamp.</w:t>
            </w:r>
          </w:p>
        </w:tc>
      </w:tr>
    </w:tbl>
    <w:p>
      <w:pPr>
        <w:pStyle w:val="Heading1"/>
      </w:pPr>
      <w:r>
        <w:t>9. Migration YAML Contract</w:t>
      </w:r>
    </w:p>
    <w:p>
      <w:r>
        <w:t>The migration YAML is the machine contract between analysis, planning, generation and testing. It must be validated by JSON Schema or an equivalent schema. Unknown values are represented explicitly with status, question and evidence reference rather than guessed defaults.</w:t>
      </w:r>
    </w:p>
    <w:p>
      <w:r>
        <w:rPr>
          <w:b/>
        </w:rPr>
        <w:t>metadata:</w:t>
      </w:r>
      <w:r>
        <w:t xml:space="preserve"> Service identity, source commit, analysis version, framework-template version and authorship.</w:t>
      </w:r>
    </w:p>
    <w:p>
      <w:r>
        <w:rPr>
          <w:b/>
        </w:rPr>
        <w:t>source:</w:t>
      </w:r>
      <w:r>
        <w:t xml:space="preserve"> ACE version, applications, libraries, flows, nodes, ESQL, maps, schemas and policies.</w:t>
      </w:r>
    </w:p>
    <w:p>
      <w:r>
        <w:rPr>
          <w:b/>
        </w:rPr>
        <w:t>interfaces:</w:t>
      </w:r>
      <w:r>
        <w:t xml:space="preserve"> HTTP, SOAP, MQ, Kafka, file, database and scheduled interfaces with contracts.</w:t>
      </w:r>
    </w:p>
    <w:p>
      <w:r>
        <w:rPr>
          <w:b/>
        </w:rPr>
        <w:t>behaviour:</w:t>
      </w:r>
      <w:r>
        <w:t xml:space="preserve"> Routing, transformations, validation, enrichment, transactions, retries and error handling.</w:t>
      </w:r>
    </w:p>
    <w:p>
      <w:r>
        <w:rPr>
          <w:b/>
        </w:rPr>
        <w:t>target:</w:t>
      </w:r>
      <w:r>
        <w:t xml:space="preserve"> Spring modules, approved dependencies, package structure, integration adapters and deployment profile.</w:t>
      </w:r>
    </w:p>
    <w:p>
      <w:r>
        <w:rPr>
          <w:b/>
        </w:rPr>
        <w:t>mappings:</w:t>
      </w:r>
      <w:r>
        <w:t xml:space="preserve"> Traceable ACE construct to Spring implementation mappings.</w:t>
      </w:r>
    </w:p>
    <w:p>
      <w:r>
        <w:rPr>
          <w:b/>
        </w:rPr>
        <w:t>tests:</w:t>
      </w:r>
      <w:r>
        <w:t xml:space="preserve"> Input sources, expected invariants, comparison policy, masks, tolerances and required non-functional tests.</w:t>
      </w:r>
    </w:p>
    <w:p>
      <w:r>
        <w:rPr>
          <w:b/>
        </w:rPr>
        <w:t>clarifications:</w:t>
      </w:r>
      <w:r>
        <w:t xml:space="preserve"> Unresolved facts, owner, effect and status.</w:t>
      </w:r>
    </w:p>
    <w:p>
      <w:r>
        <w:rPr>
          <w:b/>
        </w:rPr>
        <w:t>governance:</w:t>
      </w:r>
      <w:r>
        <w:t xml:space="preserve"> Enabled gates, confidence thresholds, auto-fix eligibility, iteration limit and stop conditions.</w:t>
      </w:r>
    </w:p>
    <w:p>
      <w:pPr>
        <w:pStyle w:val="Heading1"/>
      </w:pPr>
      <w:r>
        <w:t>10. Code Generation and Hard-Coding Prevention</w:t>
      </w:r>
    </w:p>
    <w:p>
      <w:pPr>
        <w:pStyle w:val="ListBullet"/>
      </w:pPr>
      <w:r>
        <w:t>Generate through typed intermediate models and controlled templates, not unrestricted free-form code emission.</w:t>
      </w:r>
    </w:p>
    <w:p>
      <w:pPr>
        <w:pStyle w:val="ListBullet"/>
      </w:pPr>
      <w:r>
        <w:t>Require traceability from each generated class or method to the source ACE artefact and approved plan item.</w:t>
      </w:r>
    </w:p>
    <w:p>
      <w:pPr>
        <w:pStyle w:val="ListBullet"/>
      </w:pPr>
      <w:r>
        <w:t>Run compile, unit-test, static-analysis, dependency, licence, SAST and secret-scanning gates on every iteration.</w:t>
      </w:r>
    </w:p>
    <w:p>
      <w:pPr>
        <w:pStyle w:val="ListBullet"/>
      </w:pPr>
      <w:r>
        <w:t>Detect suspicious constants, test-payload literals, response-specific branching and environment endpoints through static rules and review.</w:t>
      </w:r>
    </w:p>
    <w:p>
      <w:pPr>
        <w:pStyle w:val="ListBullet"/>
      </w:pPr>
      <w:r>
        <w:t>Externalise environment values through approved configuration and secret references.</w:t>
      </w:r>
    </w:p>
    <w:p>
      <w:pPr>
        <w:pStyle w:val="ListBullet"/>
      </w:pPr>
      <w:r>
        <w:t>Keep generated and manually amended regions explicit so regeneration cannot silently overwrite approved engineering changes.</w:t>
      </w:r>
    </w:p>
    <w:p>
      <w:pPr>
        <w:pStyle w:val="ListBullet"/>
      </w:pPr>
      <w:r>
        <w:t>Only accept behavioural differences through a documented exception decision, never by embedding a test-specific response.</w:t>
      </w:r>
    </w:p>
    <w:p>
      <w:pPr>
        <w:pStyle w:val="Heading1"/>
      </w:pPr>
      <w:r>
        <w:t>11. Differential Testing Architecture</w:t>
      </w:r>
    </w:p>
    <w:p>
      <w:r>
        <w:t>The test harness executes the same logical case against the ACE service and the generated Spring Boot service. A canonical test envelope holds the input, headers, timing controls, correlation identifiers and secure references. Adapters translate the envelope to each runtime without changing business meaning.</w:t>
      </w:r>
    </w:p>
    <w:tbl>
      <w:tblPr>
        <w:tblStyle w:val="LightShading-Accent1"/>
        <w:tblW w:type="auto" w:w="0"/>
        <w:jc w:val="center"/>
        <w:tblLook w:firstColumn="1" w:firstRow="1" w:lastColumn="0" w:lastRow="0" w:noHBand="0" w:noVBand="1" w:val="04A0"/>
      </w:tblPr>
      <w:tblGrid>
        <w:gridCol w:w="5040"/>
        <w:gridCol w:w="5040"/>
      </w:tblGrid>
      <w:tr>
        <w:tc>
          <w:tcPr>
            <w:tcW w:type="dxa" w:w="5040"/>
            <w:shd w:fill="17365D"/>
          </w:tcPr>
          <w:p>
            <w:r>
              <w:rPr>
                <w:b/>
                <w:color w:val="FFFFFF"/>
              </w:rPr>
              <w:t>Comparator Layer</w:t>
            </w:r>
          </w:p>
        </w:tc>
        <w:tc>
          <w:tcPr>
            <w:tcW w:type="dxa" w:w="5040"/>
            <w:shd w:fill="17365D"/>
          </w:tcPr>
          <w:p>
            <w:r>
              <w:rPr>
                <w:b/>
                <w:color w:val="FFFFFF"/>
              </w:rPr>
              <w:t>Function</w:t>
            </w:r>
          </w:p>
        </w:tc>
      </w:tr>
      <w:tr>
        <w:tc>
          <w:tcPr>
            <w:tcW w:type="dxa" w:w="5040"/>
            <w:vAlign w:val="center"/>
          </w:tcPr>
          <w:p>
            <w:r>
              <w:t>Transport normalisation</w:t>
            </w:r>
          </w:p>
        </w:tc>
        <w:tc>
          <w:tcPr>
            <w:tcW w:type="dxa" w:w="5040"/>
            <w:vAlign w:val="center"/>
          </w:tcPr>
          <w:p>
            <w:r>
              <w:t>Removes approved runtime-only differences such as generated correlation IDs when explicitly configured.</w:t>
            </w:r>
          </w:p>
        </w:tc>
      </w:tr>
      <w:tr>
        <w:tc>
          <w:tcPr>
            <w:tcW w:type="dxa" w:w="5040"/>
            <w:vAlign w:val="center"/>
          </w:tcPr>
          <w:p>
            <w:r>
              <w:t>Structural comparison</w:t>
            </w:r>
          </w:p>
        </w:tc>
        <w:tc>
          <w:tcPr>
            <w:tcW w:type="dxa" w:w="5040"/>
            <w:vAlign w:val="center"/>
          </w:tcPr>
          <w:p>
            <w:r>
              <w:t>Compares status, schema, fields, types, optionality, order rules and headers.</w:t>
            </w:r>
          </w:p>
        </w:tc>
      </w:tr>
      <w:tr>
        <w:tc>
          <w:tcPr>
            <w:tcW w:type="dxa" w:w="5040"/>
            <w:vAlign w:val="center"/>
          </w:tcPr>
          <w:p>
            <w:r>
              <w:t>Value comparison</w:t>
            </w:r>
          </w:p>
        </w:tc>
        <w:tc>
          <w:tcPr>
            <w:tcW w:type="dxa" w:w="5040"/>
            <w:vAlign w:val="center"/>
          </w:tcPr>
          <w:p>
            <w:r>
              <w:t>Supports exact, numeric tolerance, timestamp window, set, pattern and domain-specific comparison.</w:t>
            </w:r>
          </w:p>
        </w:tc>
      </w:tr>
      <w:tr>
        <w:tc>
          <w:tcPr>
            <w:tcW w:type="dxa" w:w="5040"/>
            <w:vAlign w:val="center"/>
          </w:tcPr>
          <w:p>
            <w:r>
              <w:t>Semantic comparison</w:t>
            </w:r>
          </w:p>
        </w:tc>
        <w:tc>
          <w:tcPr>
            <w:tcW w:type="dxa" w:w="5040"/>
            <w:vAlign w:val="center"/>
          </w:tcPr>
          <w:p>
            <w:r>
              <w:t>Used only where deterministic rules are insufficient; output includes rationale and evidence.</w:t>
            </w:r>
          </w:p>
        </w:tc>
      </w:tr>
      <w:tr>
        <w:tc>
          <w:tcPr>
            <w:tcW w:type="dxa" w:w="5040"/>
            <w:vAlign w:val="center"/>
          </w:tcPr>
          <w:p>
            <w:r>
              <w:t>Side-effect comparison</w:t>
            </w:r>
          </w:p>
        </w:tc>
        <w:tc>
          <w:tcPr>
            <w:tcW w:type="dxa" w:w="5040"/>
            <w:vAlign w:val="center"/>
          </w:tcPr>
          <w:p>
            <w:r>
              <w:t>Compares database writes, emitted messages and downstream calls through test doubles or observable evidence.</w:t>
            </w:r>
          </w:p>
        </w:tc>
      </w:tr>
      <w:tr>
        <w:tc>
          <w:tcPr>
            <w:tcW w:type="dxa" w:w="5040"/>
            <w:vAlign w:val="center"/>
          </w:tcPr>
          <w:p>
            <w:r>
              <w:t>Non-functional comparison</w:t>
            </w:r>
          </w:p>
        </w:tc>
        <w:tc>
          <w:tcPr>
            <w:tcW w:type="dxa" w:w="5040"/>
            <w:vAlign w:val="center"/>
          </w:tcPr>
          <w:p>
            <w:r>
              <w:t>Captures latency, throughput, resource use, resilience and operational signals separately from business equivalence.</w:t>
            </w:r>
          </w:p>
        </w:tc>
      </w:tr>
    </w:tbl>
    <w:p>
      <w:pPr>
        <w:pStyle w:val="Heading1"/>
      </w:pPr>
      <w:r>
        <w:t>12. RCA, Confidence and Remediation Policy</w:t>
      </w:r>
    </w:p>
    <w:p>
      <w:r>
        <w:t>Confidence is not an LLM self-declaration. The Confidence Service combines evidence coverage, deterministic reproduction, source-to-target traceability, rule match strength, test isolation and historical validation. Thresholds are configurable and must be approved. A high-confidence case is eligible for direct remediation only when the change is within an approved pattern, has bounded impact, introduces no prohibited dependency, and can be protected by tests. Otherwise the workflow requests more evidence, asks a human, or inspects ACE behaviour.</w:t>
      </w:r>
    </w:p>
    <w:p>
      <w:pPr>
        <w:pStyle w:val="ListBullet"/>
      </w:pPr>
      <w:r>
        <w:t>Every patch is created on a new iteration branch and linked to one or more variance IDs.</w:t>
      </w:r>
    </w:p>
    <w:p>
      <w:pPr>
        <w:pStyle w:val="ListBullet"/>
      </w:pPr>
      <w:r>
        <w:t>The remediation agent generates focused tests before or with the patch.</w:t>
      </w:r>
    </w:p>
    <w:p>
      <w:pPr>
        <w:pStyle w:val="ListBullet"/>
      </w:pPr>
      <w:r>
        <w:t>All impacted regression tests run after the patch; selective testing cannot authorise final promotion.</w:t>
      </w:r>
    </w:p>
    <w:p>
      <w:pPr>
        <w:pStyle w:val="ListBullet"/>
      </w:pPr>
      <w:r>
        <w:t>Iteration limits, repeated-failure detection and cost ceilings prevent infinite loops.</w:t>
      </w:r>
    </w:p>
    <w:p>
      <w:pPr>
        <w:pStyle w:val="ListBullet"/>
      </w:pPr>
      <w:r>
        <w:t>A human can stop, continue, accept an exception or roll back at the variance and exit gates.</w:t>
      </w:r>
    </w:p>
    <w:p>
      <w:pPr>
        <w:pStyle w:val="Heading1"/>
      </w:pPr>
      <w:r>
        <w:t>13. Versioning and Rollback</w:t>
      </w:r>
    </w:p>
    <w:p>
      <w:r>
        <w:t>Rollback is implemented as a coordinated snapshot rather than only a Git revert. Each iteration captures the source commit, generated target commit, approved document versions, migration YAML, prompt/model/policy versions, framework template, test data references, execution evidence and approvals. An iteration becomes immutable after review. Rollback creates a new head from the selected snapshot, records the reason and preserves later history for audit.</w:t>
      </w:r>
    </w:p>
    <w:tbl>
      <w:tblPr>
        <w:tblStyle w:val="LightShading-Accent1"/>
        <w:tblW w:type="auto" w:w="0"/>
        <w:jc w:val="center"/>
        <w:tblLook w:firstColumn="1" w:firstRow="1" w:lastColumn="0" w:lastRow="0" w:noHBand="0" w:noVBand="1" w:val="04A0"/>
      </w:tblPr>
      <w:tblGrid>
        <w:gridCol w:w="5040"/>
        <w:gridCol w:w="5040"/>
      </w:tblGrid>
      <w:tr>
        <w:tc>
          <w:tcPr>
            <w:tcW w:type="dxa" w:w="5040"/>
            <w:shd w:fill="17365D"/>
          </w:tcPr>
          <w:p>
            <w:r>
              <w:rPr>
                <w:b/>
                <w:color w:val="FFFFFF"/>
              </w:rPr>
              <w:t>Versioned Item</w:t>
            </w:r>
          </w:p>
        </w:tc>
        <w:tc>
          <w:tcPr>
            <w:tcW w:type="dxa" w:w="5040"/>
            <w:shd w:fill="17365D"/>
          </w:tcPr>
          <w:p>
            <w:r>
              <w:rPr>
                <w:b/>
                <w:color w:val="FFFFFF"/>
              </w:rPr>
              <w:t>Mechanism</w:t>
            </w:r>
          </w:p>
        </w:tc>
      </w:tr>
      <w:tr>
        <w:tc>
          <w:tcPr>
            <w:tcW w:type="dxa" w:w="5040"/>
            <w:vAlign w:val="center"/>
          </w:tcPr>
          <w:p>
            <w:r>
              <w:t>Source and target code</w:t>
            </w:r>
          </w:p>
        </w:tc>
        <w:tc>
          <w:tcPr>
            <w:tcW w:type="dxa" w:w="5040"/>
            <w:vAlign w:val="center"/>
          </w:tcPr>
          <w:p>
            <w:r>
              <w:t>Git commits, branches and signed tags.</w:t>
            </w:r>
          </w:p>
        </w:tc>
      </w:tr>
      <w:tr>
        <w:tc>
          <w:tcPr>
            <w:tcW w:type="dxa" w:w="5040"/>
            <w:vAlign w:val="center"/>
          </w:tcPr>
          <w:p>
            <w:r>
              <w:t>Documents and YAML</w:t>
            </w:r>
          </w:p>
        </w:tc>
        <w:tc>
          <w:tcPr>
            <w:tcW w:type="dxa" w:w="5040"/>
            <w:vAlign w:val="center"/>
          </w:tcPr>
          <w:p>
            <w:r>
              <w:t>Object store versions plus content hashes.</w:t>
            </w:r>
          </w:p>
        </w:tc>
      </w:tr>
      <w:tr>
        <w:tc>
          <w:tcPr>
            <w:tcW w:type="dxa" w:w="5040"/>
            <w:vAlign w:val="center"/>
          </w:tcPr>
          <w:p>
            <w:r>
              <w:t>Workflow state</w:t>
            </w:r>
          </w:p>
        </w:tc>
        <w:tc>
          <w:tcPr>
            <w:tcW w:type="dxa" w:w="5040"/>
            <w:vAlign w:val="center"/>
          </w:tcPr>
          <w:p>
            <w:r>
              <w:t>Migration-state snapshot and event replay point.</w:t>
            </w:r>
          </w:p>
        </w:tc>
      </w:tr>
      <w:tr>
        <w:tc>
          <w:tcPr>
            <w:tcW w:type="dxa" w:w="5040"/>
            <w:vAlign w:val="center"/>
          </w:tcPr>
          <w:p>
            <w:r>
              <w:t>AI configuration</w:t>
            </w:r>
          </w:p>
        </w:tc>
        <w:tc>
          <w:tcPr>
            <w:tcW w:type="dxa" w:w="5040"/>
            <w:vAlign w:val="center"/>
          </w:tcPr>
          <w:p>
            <w:r>
              <w:t>Prompt, model, tool and policy registry versions.</w:t>
            </w:r>
          </w:p>
        </w:tc>
      </w:tr>
      <w:tr>
        <w:tc>
          <w:tcPr>
            <w:tcW w:type="dxa" w:w="5040"/>
            <w:vAlign w:val="center"/>
          </w:tcPr>
          <w:p>
            <w:r>
              <w:t>Test evidence</w:t>
            </w:r>
          </w:p>
        </w:tc>
        <w:tc>
          <w:tcPr>
            <w:tcW w:type="dxa" w:w="5040"/>
            <w:vAlign w:val="center"/>
          </w:tcPr>
          <w:p>
            <w:r>
              <w:t>Immutable evidence bundle with masked data or vault references.</w:t>
            </w:r>
          </w:p>
        </w:tc>
      </w:tr>
      <w:tr>
        <w:tc>
          <w:tcPr>
            <w:tcW w:type="dxa" w:w="5040"/>
            <w:vAlign w:val="center"/>
          </w:tcPr>
          <w:p>
            <w:r>
              <w:t>Approval evidence</w:t>
            </w:r>
          </w:p>
        </w:tc>
        <w:tc>
          <w:tcPr>
            <w:tcW w:type="dxa" w:w="5040"/>
            <w:vAlign w:val="center"/>
          </w:tcPr>
          <w:p>
            <w:r>
              <w:t>Append-only ledger records linked to artefact hashes.</w:t>
            </w:r>
          </w:p>
        </w:tc>
      </w:tr>
    </w:tbl>
    <w:p>
      <w:pPr>
        <w:pStyle w:val="Heading1"/>
      </w:pPr>
      <w:r>
        <w:t>14. Security and Compliance Architecture</w:t>
      </w:r>
    </w:p>
    <w:p>
      <w:pPr>
        <w:pStyle w:val="ListBullet"/>
      </w:pPr>
      <w:r>
        <w:t>Enterprise identity integration, role-based access, project isolation and least-privilege service identities.</w:t>
      </w:r>
    </w:p>
    <w:p>
      <w:pPr>
        <w:pStyle w:val="ListBullet"/>
      </w:pPr>
      <w:r>
        <w:t>Secrets are never placed in prompts, source code or YAML. Only logical secret references are stored.</w:t>
      </w:r>
    </w:p>
    <w:p>
      <w:pPr>
        <w:pStyle w:val="ListBullet"/>
      </w:pPr>
      <w:r>
        <w:t>Repository and runtime connectors use short-lived credentials where supported and respect environment boundaries.</w:t>
      </w:r>
    </w:p>
    <w:p>
      <w:pPr>
        <w:pStyle w:val="ListBullet"/>
      </w:pPr>
      <w:r>
        <w:t>Test data is classified, masked, tokenised or referenced from an approved vault. Retrieval is purpose-bound and audited.</w:t>
      </w:r>
    </w:p>
    <w:p>
      <w:pPr>
        <w:pStyle w:val="ListBullet"/>
      </w:pPr>
      <w:r>
        <w:t>Model gateway applies data-loss-prevention rules, provider allow-lists, content filtering, request logging policy and region controls.</w:t>
      </w:r>
    </w:p>
    <w:p>
      <w:pPr>
        <w:pStyle w:val="ListBullet"/>
      </w:pPr>
      <w:r>
        <w:t>Generated code undergoes security scanning and dependency governance before promotion.</w:t>
      </w:r>
    </w:p>
    <w:p>
      <w:pPr>
        <w:pStyle w:val="ListBullet"/>
      </w:pPr>
      <w:r>
        <w:t>An append-only event trail records agent and human actions, including gate bypass and override decisions.</w:t>
      </w:r>
    </w:p>
    <w:p>
      <w:pPr>
        <w:pStyle w:val="ListBullet"/>
      </w:pPr>
      <w:r>
        <w:t>Retention and deletion policies apply independently to source copies, prompts, logs, test evidence and approval records.</w:t>
      </w:r>
    </w:p>
    <w:p>
      <w:pPr>
        <w:pStyle w:val="ListBullet"/>
      </w:pPr>
      <w:r>
        <w:t>Break-glass access requires stronger approval and creates a high-severity audit event.</w:t>
      </w:r>
    </w:p>
    <w:p>
      <w:pPr>
        <w:pStyle w:val="Heading1"/>
      </w:pPr>
      <w:r>
        <w:t>15. Deployment and Runtime Topology</w:t>
      </w:r>
    </w:p>
    <w:p>
      <w:r>
        <w:t>The platform should be deployable as independently scalable services. The experience and control planes run as long-lived APIs. Agent workers and engineering runners consume jobs from queues. Parsers, build runners and test executors run in isolated ephemeral containers with restricted network policies. Long-running jobs use durable workflow state so that process restarts do not lose progress. Separate worker pools support analysis, generation, build and testing to prevent a large compile or test run from blocking approvals or UI requests.</w:t>
      </w:r>
    </w:p>
    <w:tbl>
      <w:tblPr>
        <w:tblStyle w:val="LightShading-Accent1"/>
        <w:tblW w:type="auto" w:w="0"/>
        <w:jc w:val="center"/>
        <w:tblLook w:firstColumn="1" w:firstRow="1" w:lastColumn="0" w:lastRow="0" w:noHBand="0" w:noVBand="1" w:val="04A0"/>
      </w:tblPr>
      <w:tblGrid>
        <w:gridCol w:w="5040"/>
        <w:gridCol w:w="5040"/>
      </w:tblGrid>
      <w:tr>
        <w:tc>
          <w:tcPr>
            <w:tcW w:type="dxa" w:w="5040"/>
            <w:shd w:fill="17365D"/>
          </w:tcPr>
          <w:p>
            <w:r>
              <w:rPr>
                <w:b/>
                <w:color w:val="FFFFFF"/>
              </w:rPr>
              <w:t>Runtime Component</w:t>
            </w:r>
          </w:p>
        </w:tc>
        <w:tc>
          <w:tcPr>
            <w:tcW w:type="dxa" w:w="5040"/>
            <w:shd w:fill="17365D"/>
          </w:tcPr>
          <w:p>
            <w:r>
              <w:rPr>
                <w:b/>
                <w:color w:val="FFFFFF"/>
              </w:rPr>
              <w:t>Scaling / Isolation Consideration</w:t>
            </w:r>
          </w:p>
        </w:tc>
      </w:tr>
      <w:tr>
        <w:tc>
          <w:tcPr>
            <w:tcW w:type="dxa" w:w="5040"/>
            <w:vAlign w:val="center"/>
          </w:tcPr>
          <w:p>
            <w:r>
              <w:t>Web UI and API gateway</w:t>
            </w:r>
          </w:p>
        </w:tc>
        <w:tc>
          <w:tcPr>
            <w:tcW w:type="dxa" w:w="5040"/>
            <w:vAlign w:val="center"/>
          </w:tcPr>
          <w:p>
            <w:r>
              <w:t>Stateless horizontal scaling; identity and rate limits at the edge.</w:t>
            </w:r>
          </w:p>
        </w:tc>
      </w:tr>
      <w:tr>
        <w:tc>
          <w:tcPr>
            <w:tcW w:type="dxa" w:w="5040"/>
            <w:vAlign w:val="center"/>
          </w:tcPr>
          <w:p>
            <w:r>
              <w:t>Workflow orchestrator</w:t>
            </w:r>
          </w:p>
        </w:tc>
        <w:tc>
          <w:tcPr>
            <w:tcW w:type="dxa" w:w="5040"/>
            <w:vAlign w:val="center"/>
          </w:tcPr>
          <w:p>
            <w:r>
              <w:t>Durable state, idempotent activity calls and leader-safe scheduling.</w:t>
            </w:r>
          </w:p>
        </w:tc>
      </w:tr>
      <w:tr>
        <w:tc>
          <w:tcPr>
            <w:tcW w:type="dxa" w:w="5040"/>
            <w:vAlign w:val="center"/>
          </w:tcPr>
          <w:p>
            <w:r>
              <w:t>Agent workers</w:t>
            </w:r>
          </w:p>
        </w:tc>
        <w:tc>
          <w:tcPr>
            <w:tcW w:type="dxa" w:w="5040"/>
            <w:vAlign w:val="center"/>
          </w:tcPr>
          <w:p>
            <w:r>
              <w:t>Queue-based autoscaling; per-job context and tool allow-list.</w:t>
            </w:r>
          </w:p>
        </w:tc>
      </w:tr>
      <w:tr>
        <w:tc>
          <w:tcPr>
            <w:tcW w:type="dxa" w:w="5040"/>
            <w:vAlign w:val="center"/>
          </w:tcPr>
          <w:p>
            <w:r>
              <w:t>Build/test runners</w:t>
            </w:r>
          </w:p>
        </w:tc>
        <w:tc>
          <w:tcPr>
            <w:tcW w:type="dxa" w:w="5040"/>
            <w:vAlign w:val="center"/>
          </w:tcPr>
          <w:p>
            <w:r>
              <w:t>Ephemeral containers; restricted egress; CPU/memory quotas; workspace destroyed after evidence capture.</w:t>
            </w:r>
          </w:p>
        </w:tc>
      </w:tr>
      <w:tr>
        <w:tc>
          <w:tcPr>
            <w:tcW w:type="dxa" w:w="5040"/>
            <w:vAlign w:val="center"/>
          </w:tcPr>
          <w:p>
            <w:r>
              <w:t>Metadata database</w:t>
            </w:r>
          </w:p>
        </w:tc>
        <w:tc>
          <w:tcPr>
            <w:tcW w:type="dxa" w:w="5040"/>
            <w:vAlign w:val="center"/>
          </w:tcPr>
          <w:p>
            <w:r>
              <w:t>Transactional store, backup, point-in-time recovery and environment isolation.</w:t>
            </w:r>
          </w:p>
        </w:tc>
      </w:tr>
      <w:tr>
        <w:tc>
          <w:tcPr>
            <w:tcW w:type="dxa" w:w="5040"/>
            <w:vAlign w:val="center"/>
          </w:tcPr>
          <w:p>
            <w:r>
              <w:t>Artefact/evidence store</w:t>
            </w:r>
          </w:p>
        </w:tc>
        <w:tc>
          <w:tcPr>
            <w:tcW w:type="dxa" w:w="5040"/>
            <w:vAlign w:val="center"/>
          </w:tcPr>
          <w:p>
            <w:r>
              <w:t>Encryption, versioning, immutability options and lifecycle retention.</w:t>
            </w:r>
          </w:p>
        </w:tc>
      </w:tr>
      <w:tr>
        <w:tc>
          <w:tcPr>
            <w:tcW w:type="dxa" w:w="5040"/>
            <w:vAlign w:val="center"/>
          </w:tcPr>
          <w:p>
            <w:r>
              <w:t>Model gateway</w:t>
            </w:r>
          </w:p>
        </w:tc>
        <w:tc>
          <w:tcPr>
            <w:tcW w:type="dxa" w:w="5040"/>
            <w:vAlign w:val="center"/>
          </w:tcPr>
          <w:p>
            <w:r>
              <w:t>Central provider abstraction, policy enforcement, telemetry and failover.</w:t>
            </w:r>
          </w:p>
        </w:tc>
      </w:tr>
      <w:tr>
        <w:tc>
          <w:tcPr>
            <w:tcW w:type="dxa" w:w="5040"/>
            <w:vAlign w:val="center"/>
          </w:tcPr>
          <w:p>
            <w:r>
              <w:t>Observability stack</w:t>
            </w:r>
          </w:p>
        </w:tc>
        <w:tc>
          <w:tcPr>
            <w:tcW w:type="dxa" w:w="5040"/>
            <w:vAlign w:val="center"/>
          </w:tcPr>
          <w:p>
            <w:r>
              <w:t>Metrics, logs, traces and audit kept separate by sensitivity and retention class.</w:t>
            </w:r>
          </w:p>
        </w:tc>
      </w:tr>
    </w:tbl>
    <w:p>
      <w:pPr>
        <w:pStyle w:val="Heading1"/>
      </w:pPr>
      <w:r>
        <w:t>16. API and Event Design</w:t>
      </w:r>
    </w:p>
    <w:p>
      <w:r>
        <w:t>External APIs should be versioned and resource-oriented. Representative resources include migration-jobs, services, repositories, templates, analyses, specifications, plans, iterations, test-runs, variances, clarifications, approvals and evidence-bundles. Commands such as pause, resume, rollback, approve and reject use explicit action endpoints or command messages with idempotency keys.</w:t>
      </w:r>
    </w:p>
    <w:p>
      <w:r>
        <w:t>Representative domain events: MigrationCreated, DormancyAssessmentCompleted, GateRequested, GateDecided, ClarificationRequired, ClarificationAnswered, AnalysisCompleted, PlanApproved, ImplementationCompleted, BuildFailed, DifferentialTestCompleted, VarianceDetected, RemediationProposed, IterationCompleted, RollbackRequested, MigrationPromoted.</w:t>
      </w:r>
    </w:p>
    <w:p>
      <w:pPr>
        <w:pStyle w:val="Heading1"/>
      </w:pPr>
      <w:r>
        <w:t>17. Observability and Operating Model</w:t>
      </w:r>
    </w:p>
    <w:tbl>
      <w:tblPr>
        <w:tblStyle w:val="LightShading-Accent1"/>
        <w:tblW w:type="auto" w:w="0"/>
        <w:jc w:val="center"/>
        <w:tblLook w:firstColumn="1" w:firstRow="1" w:lastColumn="0" w:lastRow="0" w:noHBand="0" w:noVBand="1" w:val="04A0"/>
      </w:tblPr>
      <w:tblGrid>
        <w:gridCol w:w="5040"/>
        <w:gridCol w:w="5040"/>
      </w:tblGrid>
      <w:tr>
        <w:tc>
          <w:tcPr>
            <w:tcW w:type="dxa" w:w="5040"/>
            <w:shd w:fill="17365D"/>
          </w:tcPr>
          <w:p>
            <w:r>
              <w:rPr>
                <w:b/>
                <w:color w:val="FFFFFF"/>
              </w:rPr>
              <w:t>Measure</w:t>
            </w:r>
          </w:p>
        </w:tc>
        <w:tc>
          <w:tcPr>
            <w:tcW w:type="dxa" w:w="5040"/>
            <w:shd w:fill="17365D"/>
          </w:tcPr>
          <w:p>
            <w:r>
              <w:rPr>
                <w:b/>
                <w:color w:val="FFFFFF"/>
              </w:rPr>
              <w:t>Examples</w:t>
            </w:r>
          </w:p>
        </w:tc>
      </w:tr>
      <w:tr>
        <w:tc>
          <w:tcPr>
            <w:tcW w:type="dxa" w:w="5040"/>
            <w:vAlign w:val="center"/>
          </w:tcPr>
          <w:p>
            <w:r>
              <w:t>Workflow health</w:t>
            </w:r>
          </w:p>
        </w:tc>
        <w:tc>
          <w:tcPr>
            <w:tcW w:type="dxa" w:w="5040"/>
            <w:vAlign w:val="center"/>
          </w:tcPr>
          <w:p>
            <w:r>
              <w:t>Jobs by state, stage duration, retries, failures, queue delay and stuck-workflow alerts.</w:t>
            </w:r>
          </w:p>
        </w:tc>
      </w:tr>
      <w:tr>
        <w:tc>
          <w:tcPr>
            <w:tcW w:type="dxa" w:w="5040"/>
            <w:vAlign w:val="center"/>
          </w:tcPr>
          <w:p>
            <w:r>
              <w:t>Migration quality</w:t>
            </w:r>
          </w:p>
        </w:tc>
        <w:tc>
          <w:tcPr>
            <w:tcW w:type="dxa" w:w="5040"/>
            <w:vAlign w:val="center"/>
          </w:tcPr>
          <w:p>
            <w:r>
              <w:t>Compile success, test pass rate, open variances, iterations to convergence and accepted exceptions.</w:t>
            </w:r>
          </w:p>
        </w:tc>
      </w:tr>
      <w:tr>
        <w:tc>
          <w:tcPr>
            <w:tcW w:type="dxa" w:w="5040"/>
            <w:vAlign w:val="center"/>
          </w:tcPr>
          <w:p>
            <w:r>
              <w:t>AI effectiveness</w:t>
            </w:r>
          </w:p>
        </w:tc>
        <w:tc>
          <w:tcPr>
            <w:tcW w:type="dxa" w:w="5040"/>
            <w:vAlign w:val="center"/>
          </w:tcPr>
          <w:p>
            <w:r>
              <w:t>Clarification rate, evidence coverage, remediation acceptance and grounded-output failures.</w:t>
            </w:r>
          </w:p>
        </w:tc>
      </w:tr>
      <w:tr>
        <w:tc>
          <w:tcPr>
            <w:tcW w:type="dxa" w:w="5040"/>
            <w:vAlign w:val="center"/>
          </w:tcPr>
          <w:p>
            <w:r>
              <w:t>Cost and performance</w:t>
            </w:r>
          </w:p>
        </w:tc>
        <w:tc>
          <w:tcPr>
            <w:tcW w:type="dxa" w:w="5040"/>
            <w:vAlign w:val="center"/>
          </w:tcPr>
          <w:p>
            <w:r>
              <w:t>Model tokens, runner minutes, storage, latency and cost per migrated service.</w:t>
            </w:r>
          </w:p>
        </w:tc>
      </w:tr>
      <w:tr>
        <w:tc>
          <w:tcPr>
            <w:tcW w:type="dxa" w:w="5040"/>
            <w:vAlign w:val="center"/>
          </w:tcPr>
          <w:p>
            <w:r>
              <w:t>Security</w:t>
            </w:r>
          </w:p>
        </w:tc>
        <w:tc>
          <w:tcPr>
            <w:tcW w:type="dxa" w:w="5040"/>
            <w:vAlign w:val="center"/>
          </w:tcPr>
          <w:p>
            <w:r>
              <w:t>Denied tool calls, secret-scan findings, privileged actions, gate bypasses and data-policy violations.</w:t>
            </w:r>
          </w:p>
        </w:tc>
      </w:tr>
      <w:tr>
        <w:tc>
          <w:tcPr>
            <w:tcW w:type="dxa" w:w="5040"/>
            <w:vAlign w:val="center"/>
          </w:tcPr>
          <w:p>
            <w:r>
              <w:t>Operations</w:t>
            </w:r>
          </w:p>
        </w:tc>
        <w:tc>
          <w:tcPr>
            <w:tcW w:type="dxa" w:w="5040"/>
            <w:vAlign w:val="center"/>
          </w:tcPr>
          <w:p>
            <w:r>
              <w:t>Availability, error budget, recovery objective tests, backup health and connector failures.</w:t>
            </w:r>
          </w:p>
        </w:tc>
      </w:tr>
    </w:tbl>
    <w:p>
      <w:r>
        <w:t>The support model should define L1 platform triage, L2 connector/workflow support and L3 agent, ACE, Java or security engineering. Runbooks must cover stuck jobs, failed builds, model-provider outage, connector credential failure, evidence-store failure, rollback and incident containment.</w:t>
      </w:r>
    </w:p>
    <w:p>
      <w:pPr>
        <w:pStyle w:val="Heading1"/>
      </w:pPr>
      <w:r>
        <w:t>18. Non-Functional Requirements</w:t>
      </w:r>
    </w:p>
    <w:tbl>
      <w:tblPr>
        <w:tblStyle w:val="LightShading-Accent1"/>
        <w:tblW w:type="auto" w:w="0"/>
        <w:jc w:val="center"/>
        <w:tblLook w:firstColumn="1" w:firstRow="1" w:lastColumn="0" w:lastRow="0" w:noHBand="0" w:noVBand="1" w:val="04A0"/>
      </w:tblPr>
      <w:tblGrid>
        <w:gridCol w:w="5040"/>
        <w:gridCol w:w="5040"/>
      </w:tblGrid>
      <w:tr>
        <w:tc>
          <w:tcPr>
            <w:tcW w:type="dxa" w:w="5040"/>
            <w:shd w:fill="17365D"/>
          </w:tcPr>
          <w:p>
            <w:r>
              <w:rPr>
                <w:b/>
                <w:color w:val="FFFFFF"/>
              </w:rPr>
              <w:t>Quality Attribute</w:t>
            </w:r>
          </w:p>
        </w:tc>
        <w:tc>
          <w:tcPr>
            <w:tcW w:type="dxa" w:w="5040"/>
            <w:shd w:fill="17365D"/>
          </w:tcPr>
          <w:p>
            <w:r>
              <w:rPr>
                <w:b/>
                <w:color w:val="FFFFFF"/>
              </w:rPr>
              <w:t>Architecture Requirement</w:t>
            </w:r>
          </w:p>
        </w:tc>
      </w:tr>
      <w:tr>
        <w:tc>
          <w:tcPr>
            <w:tcW w:type="dxa" w:w="5040"/>
            <w:vAlign w:val="center"/>
          </w:tcPr>
          <w:p>
            <w:r>
              <w:t>Reliability</w:t>
            </w:r>
          </w:p>
        </w:tc>
        <w:tc>
          <w:tcPr>
            <w:tcW w:type="dxa" w:w="5040"/>
            <w:vAlign w:val="center"/>
          </w:tcPr>
          <w:p>
            <w:r>
              <w:t>Durable workflows, idempotency, retries with back-off, dead-letter handling and recoverable checkpoints.</w:t>
            </w:r>
          </w:p>
        </w:tc>
      </w:tr>
      <w:tr>
        <w:tc>
          <w:tcPr>
            <w:tcW w:type="dxa" w:w="5040"/>
            <w:vAlign w:val="center"/>
          </w:tcPr>
          <w:p>
            <w:r>
              <w:t>Scalability</w:t>
            </w:r>
          </w:p>
        </w:tc>
        <w:tc>
          <w:tcPr>
            <w:tcW w:type="dxa" w:w="5040"/>
            <w:vAlign w:val="center"/>
          </w:tcPr>
          <w:p>
            <w:r>
              <w:t>Independent worker pools and queue back-pressure; no single migration monopolises shared resources.</w:t>
            </w:r>
          </w:p>
        </w:tc>
      </w:tr>
      <w:tr>
        <w:tc>
          <w:tcPr>
            <w:tcW w:type="dxa" w:w="5040"/>
            <w:vAlign w:val="center"/>
          </w:tcPr>
          <w:p>
            <w:r>
              <w:t>Performance</w:t>
            </w:r>
          </w:p>
        </w:tc>
        <w:tc>
          <w:tcPr>
            <w:tcW w:type="dxa" w:w="5040"/>
            <w:vAlign w:val="center"/>
          </w:tcPr>
          <w:p>
            <w:r>
              <w:t>Interactive UI actions remain isolated from build and test workloads; stage SLAs are measured, not assumed.</w:t>
            </w:r>
          </w:p>
        </w:tc>
      </w:tr>
      <w:tr>
        <w:tc>
          <w:tcPr>
            <w:tcW w:type="dxa" w:w="5040"/>
            <w:vAlign w:val="center"/>
          </w:tcPr>
          <w:p>
            <w:r>
              <w:t>Security</w:t>
            </w:r>
          </w:p>
        </w:tc>
        <w:tc>
          <w:tcPr>
            <w:tcW w:type="dxa" w:w="5040"/>
            <w:vAlign w:val="center"/>
          </w:tcPr>
          <w:p>
            <w:r>
              <w:t>Least privilege, isolation, encryption in transit/at rest, secret indirection, scanning and complete audit.</w:t>
            </w:r>
          </w:p>
        </w:tc>
      </w:tr>
      <w:tr>
        <w:tc>
          <w:tcPr>
            <w:tcW w:type="dxa" w:w="5040"/>
            <w:vAlign w:val="center"/>
          </w:tcPr>
          <w:p>
            <w:r>
              <w:t>Maintainability</w:t>
            </w:r>
          </w:p>
        </w:tc>
        <w:tc>
          <w:tcPr>
            <w:tcW w:type="dxa" w:w="5040"/>
            <w:vAlign w:val="center"/>
          </w:tcPr>
          <w:p>
            <w:r>
              <w:t>Plug-in connectors, typed contracts, versioned schemas, clear agent boundaries and automated tests.</w:t>
            </w:r>
          </w:p>
        </w:tc>
      </w:tr>
      <w:tr>
        <w:tc>
          <w:tcPr>
            <w:tcW w:type="dxa" w:w="5040"/>
            <w:vAlign w:val="center"/>
          </w:tcPr>
          <w:p>
            <w:r>
              <w:t>Explainability</w:t>
            </w:r>
          </w:p>
        </w:tc>
        <w:tc>
          <w:tcPr>
            <w:tcW w:type="dxa" w:w="5040"/>
            <w:vAlign w:val="center"/>
          </w:tcPr>
          <w:p>
            <w:r>
              <w:t>Every migration claim links to source evidence, tool output or approved human input.</w:t>
            </w:r>
          </w:p>
        </w:tc>
      </w:tr>
      <w:tr>
        <w:tc>
          <w:tcPr>
            <w:tcW w:type="dxa" w:w="5040"/>
            <w:vAlign w:val="center"/>
          </w:tcPr>
          <w:p>
            <w:r>
              <w:t>Portability</w:t>
            </w:r>
          </w:p>
        </w:tc>
        <w:tc>
          <w:tcPr>
            <w:tcW w:type="dxa" w:w="5040"/>
            <w:vAlign w:val="center"/>
          </w:tcPr>
          <w:p>
            <w:r>
              <w:t>Adapters isolate model provider, Git, telemetry, CI/CD, ACE runtime and deployment platform choices.</w:t>
            </w:r>
          </w:p>
        </w:tc>
      </w:tr>
      <w:tr>
        <w:tc>
          <w:tcPr>
            <w:tcW w:type="dxa" w:w="5040"/>
            <w:vAlign w:val="center"/>
          </w:tcPr>
          <w:p>
            <w:r>
              <w:t>Recoverability</w:t>
            </w:r>
          </w:p>
        </w:tc>
        <w:tc>
          <w:tcPr>
            <w:tcW w:type="dxa" w:w="5040"/>
            <w:vAlign w:val="center"/>
          </w:tcPr>
          <w:p>
            <w:r>
              <w:t>Backup, restore, state replay and iteration rollback are rehearsed before production launch.</w:t>
            </w:r>
          </w:p>
        </w:tc>
      </w:tr>
    </w:tbl>
    <w:p>
      <w:pPr>
        <w:pStyle w:val="Heading1"/>
      </w:pPr>
      <w:r>
        <w:t>19. Complete Delivery Roadmap</w:t>
      </w:r>
    </w:p>
    <w:p>
      <w:r>
        <w:t>The accompanying Excel workbook contains the detailed task-level plan. The baseline assumes a Monday 14 September 2026 start, a five-day week and parallel specialist roles. Public holidays are not removed because no organisation holiday calendar was supplied.</w:t>
      </w:r>
    </w:p>
    <w:tbl>
      <w:tblPr>
        <w:tblStyle w:val="LightShading-Accent1"/>
        <w:tblW w:type="auto" w:w="0"/>
        <w:jc w:val="center"/>
        <w:tblLook w:firstColumn="1" w:firstRow="1" w:lastColumn="0" w:lastRow="0" w:noHBand="0" w:noVBand="1" w:val="04A0"/>
      </w:tblPr>
      <w:tblGrid>
        <w:gridCol w:w="2520"/>
        <w:gridCol w:w="2520"/>
        <w:gridCol w:w="2520"/>
        <w:gridCol w:w="2520"/>
      </w:tblGrid>
      <w:tr>
        <w:tc>
          <w:tcPr>
            <w:tcW w:type="dxa" w:w="2520"/>
            <w:shd w:fill="17365D"/>
          </w:tcPr>
          <w:p>
            <w:r>
              <w:rPr>
                <w:b/>
                <w:color w:val="FFFFFF"/>
              </w:rPr>
              <w:t>Sprint</w:t>
            </w:r>
          </w:p>
        </w:tc>
        <w:tc>
          <w:tcPr>
            <w:tcW w:type="dxa" w:w="2520"/>
            <w:shd w:fill="17365D"/>
          </w:tcPr>
          <w:p>
            <w:r>
              <w:rPr>
                <w:b/>
                <w:color w:val="FFFFFF"/>
              </w:rPr>
              <w:t>Dates</w:t>
            </w:r>
          </w:p>
        </w:tc>
        <w:tc>
          <w:tcPr>
            <w:tcW w:type="dxa" w:w="2520"/>
            <w:shd w:fill="17365D"/>
          </w:tcPr>
          <w:p>
            <w:r>
              <w:rPr>
                <w:b/>
                <w:color w:val="FFFFFF"/>
              </w:rPr>
              <w:t>Theme</w:t>
            </w:r>
          </w:p>
        </w:tc>
        <w:tc>
          <w:tcPr>
            <w:tcW w:type="dxa" w:w="2520"/>
            <w:shd w:fill="17365D"/>
          </w:tcPr>
          <w:p>
            <w:r>
              <w:rPr>
                <w:b/>
                <w:color w:val="FFFFFF"/>
              </w:rPr>
              <w:t>Exit Outcome</w:t>
            </w:r>
          </w:p>
        </w:tc>
      </w:tr>
      <w:tr>
        <w:tc>
          <w:tcPr>
            <w:tcW w:type="dxa" w:w="2520"/>
            <w:vAlign w:val="center"/>
          </w:tcPr>
          <w:p>
            <w:r>
              <w:t>Sprint 1</w:t>
            </w:r>
          </w:p>
        </w:tc>
        <w:tc>
          <w:tcPr>
            <w:tcW w:type="dxa" w:w="2520"/>
            <w:vAlign w:val="center"/>
          </w:tcPr>
          <w:p>
            <w:r>
              <w:t>14 Sep - 18 Sep 2026</w:t>
            </w:r>
          </w:p>
        </w:tc>
        <w:tc>
          <w:tcPr>
            <w:tcW w:type="dxa" w:w="2520"/>
            <w:vAlign w:val="center"/>
          </w:tcPr>
          <w:p>
            <w:r>
              <w:t>Product foundation and architecture</w:t>
            </w:r>
          </w:p>
        </w:tc>
        <w:tc>
          <w:tcPr>
            <w:tcW w:type="dxa" w:w="2520"/>
            <w:vAlign w:val="center"/>
          </w:tcPr>
          <w:p>
            <w:r>
              <w:t>Approved baseline</w:t>
            </w:r>
          </w:p>
        </w:tc>
      </w:tr>
      <w:tr>
        <w:tc>
          <w:tcPr>
            <w:tcW w:type="dxa" w:w="2520"/>
            <w:vAlign w:val="center"/>
          </w:tcPr>
          <w:p>
            <w:r>
              <w:t>Sprint 2</w:t>
            </w:r>
          </w:p>
        </w:tc>
        <w:tc>
          <w:tcPr>
            <w:tcW w:type="dxa" w:w="2520"/>
            <w:vAlign w:val="center"/>
          </w:tcPr>
          <w:p>
            <w:r>
              <w:t>21 Sep - 25 Sep 2026</w:t>
            </w:r>
          </w:p>
        </w:tc>
        <w:tc>
          <w:tcPr>
            <w:tcW w:type="dxa" w:w="2520"/>
            <w:vAlign w:val="center"/>
          </w:tcPr>
          <w:p>
            <w:r>
              <w:t>Platform engineering and control plane</w:t>
            </w:r>
          </w:p>
        </w:tc>
        <w:tc>
          <w:tcPr>
            <w:tcW w:type="dxa" w:w="2520"/>
            <w:vAlign w:val="center"/>
          </w:tcPr>
          <w:p>
            <w:r>
              <w:t>Platform demo</w:t>
            </w:r>
          </w:p>
        </w:tc>
      </w:tr>
      <w:tr>
        <w:tc>
          <w:tcPr>
            <w:tcW w:type="dxa" w:w="2520"/>
            <w:vAlign w:val="center"/>
          </w:tcPr>
          <w:p>
            <w:r>
              <w:t>Sprint 3</w:t>
            </w:r>
          </w:p>
        </w:tc>
        <w:tc>
          <w:tcPr>
            <w:tcW w:type="dxa" w:w="2520"/>
            <w:vAlign w:val="center"/>
          </w:tcPr>
          <w:p>
            <w:r>
              <w:t>28 Sep - 02 Oct 2026</w:t>
            </w:r>
          </w:p>
        </w:tc>
        <w:tc>
          <w:tcPr>
            <w:tcW w:type="dxa" w:w="2520"/>
            <w:vAlign w:val="center"/>
          </w:tcPr>
          <w:p>
            <w:r>
              <w:t>User experience and human approvals</w:t>
            </w:r>
          </w:p>
        </w:tc>
        <w:tc>
          <w:tcPr>
            <w:tcW w:type="dxa" w:w="2520"/>
            <w:vAlign w:val="center"/>
          </w:tcPr>
          <w:p>
            <w:r>
              <w:t>UI demo</w:t>
            </w:r>
          </w:p>
        </w:tc>
      </w:tr>
      <w:tr>
        <w:tc>
          <w:tcPr>
            <w:tcW w:type="dxa" w:w="2520"/>
            <w:vAlign w:val="center"/>
          </w:tcPr>
          <w:p>
            <w:r>
              <w:t>Sprint 4</w:t>
            </w:r>
          </w:p>
        </w:tc>
        <w:tc>
          <w:tcPr>
            <w:tcW w:type="dxa" w:w="2520"/>
            <w:vAlign w:val="center"/>
          </w:tcPr>
          <w:p>
            <w:r>
              <w:t>05 Oct - 09 Oct 2026</w:t>
            </w:r>
          </w:p>
        </w:tc>
        <w:tc>
          <w:tcPr>
            <w:tcW w:type="dxa" w:w="2520"/>
            <w:vAlign w:val="center"/>
          </w:tcPr>
          <w:p>
            <w:r>
              <w:t>Repository intake and dormancy intelligence</w:t>
            </w:r>
          </w:p>
        </w:tc>
        <w:tc>
          <w:tcPr>
            <w:tcW w:type="dxa" w:w="2520"/>
            <w:vAlign w:val="center"/>
          </w:tcPr>
          <w:p>
            <w:r>
              <w:t>Dormancy demo</w:t>
            </w:r>
          </w:p>
        </w:tc>
      </w:tr>
      <w:tr>
        <w:tc>
          <w:tcPr>
            <w:tcW w:type="dxa" w:w="2520"/>
            <w:vAlign w:val="center"/>
          </w:tcPr>
          <w:p>
            <w:r>
              <w:t>Sprint 5</w:t>
            </w:r>
          </w:p>
        </w:tc>
        <w:tc>
          <w:tcPr>
            <w:tcW w:type="dxa" w:w="2520"/>
            <w:vAlign w:val="center"/>
          </w:tcPr>
          <w:p>
            <w:r>
              <w:t>12 Oct - 16 Oct 2026</w:t>
            </w:r>
          </w:p>
        </w:tc>
        <w:tc>
          <w:tcPr>
            <w:tcW w:type="dxa" w:w="2520"/>
            <w:vAlign w:val="center"/>
          </w:tcPr>
          <w:p>
            <w:r>
              <w:t>Spring Boot framework baseline intelligence</w:t>
            </w:r>
          </w:p>
        </w:tc>
        <w:tc>
          <w:tcPr>
            <w:tcW w:type="dxa" w:w="2520"/>
            <w:vAlign w:val="center"/>
          </w:tcPr>
          <w:p>
            <w:r>
              <w:t>Approved standard</w:t>
            </w:r>
          </w:p>
        </w:tc>
      </w:tr>
      <w:tr>
        <w:tc>
          <w:tcPr>
            <w:tcW w:type="dxa" w:w="2520"/>
            <w:vAlign w:val="center"/>
          </w:tcPr>
          <w:p>
            <w:r>
              <w:t>Sprint 6</w:t>
            </w:r>
          </w:p>
        </w:tc>
        <w:tc>
          <w:tcPr>
            <w:tcW w:type="dxa" w:w="2520"/>
            <w:vAlign w:val="center"/>
          </w:tcPr>
          <w:p>
            <w:r>
              <w:t>19 Oct - 23 Oct 2026</w:t>
            </w:r>
          </w:p>
        </w:tc>
        <w:tc>
          <w:tcPr>
            <w:tcW w:type="dxa" w:w="2520"/>
            <w:vAlign w:val="center"/>
          </w:tcPr>
          <w:p>
            <w:r>
              <w:t>ACE deep analysis and migration specification</w:t>
            </w:r>
          </w:p>
        </w:tc>
        <w:tc>
          <w:tcPr>
            <w:tcW w:type="dxa" w:w="2520"/>
            <w:vAlign w:val="center"/>
          </w:tcPr>
          <w:p>
            <w:r>
              <w:t>Analysis demo</w:t>
            </w:r>
          </w:p>
        </w:tc>
      </w:tr>
      <w:tr>
        <w:tc>
          <w:tcPr>
            <w:tcW w:type="dxa" w:w="2520"/>
            <w:vAlign w:val="center"/>
          </w:tcPr>
          <w:p>
            <w:r>
              <w:t>Sprint 7</w:t>
            </w:r>
          </w:p>
        </w:tc>
        <w:tc>
          <w:tcPr>
            <w:tcW w:type="dxa" w:w="2520"/>
            <w:vAlign w:val="center"/>
          </w:tcPr>
          <w:p>
            <w:r>
              <w:t>26 Oct - 30 Oct 2026</w:t>
            </w:r>
          </w:p>
        </w:tc>
        <w:tc>
          <w:tcPr>
            <w:tcW w:type="dxa" w:w="2520"/>
            <w:vAlign w:val="center"/>
          </w:tcPr>
          <w:p>
            <w:r>
              <w:t>Planning and code generation foundation</w:t>
            </w:r>
          </w:p>
        </w:tc>
        <w:tc>
          <w:tcPr>
            <w:tcW w:type="dxa" w:w="2520"/>
            <w:vAlign w:val="center"/>
          </w:tcPr>
          <w:p>
            <w:r>
              <w:t>Generation demo</w:t>
            </w:r>
          </w:p>
        </w:tc>
      </w:tr>
      <w:tr>
        <w:tc>
          <w:tcPr>
            <w:tcW w:type="dxa" w:w="2520"/>
            <w:vAlign w:val="center"/>
          </w:tcPr>
          <w:p>
            <w:r>
              <w:t>Sprint 8</w:t>
            </w:r>
          </w:p>
        </w:tc>
        <w:tc>
          <w:tcPr>
            <w:tcW w:type="dxa" w:w="2520"/>
            <w:vAlign w:val="center"/>
          </w:tcPr>
          <w:p>
            <w:r>
              <w:t>02 Nov - 06 Nov 2026</w:t>
            </w:r>
          </w:p>
        </w:tc>
        <w:tc>
          <w:tcPr>
            <w:tcW w:type="dxa" w:w="2520"/>
            <w:vAlign w:val="center"/>
          </w:tcPr>
          <w:p>
            <w:r>
              <w:t>Code quality, security and delivery automation</w:t>
            </w:r>
          </w:p>
        </w:tc>
        <w:tc>
          <w:tcPr>
            <w:tcW w:type="dxa" w:w="2520"/>
            <w:vAlign w:val="center"/>
          </w:tcPr>
          <w:p>
            <w:r>
              <w:t>Secure build demo</w:t>
            </w:r>
          </w:p>
        </w:tc>
      </w:tr>
      <w:tr>
        <w:tc>
          <w:tcPr>
            <w:tcW w:type="dxa" w:w="2520"/>
            <w:vAlign w:val="center"/>
          </w:tcPr>
          <w:p>
            <w:r>
              <w:t>Sprint 9</w:t>
            </w:r>
          </w:p>
        </w:tc>
        <w:tc>
          <w:tcPr>
            <w:tcW w:type="dxa" w:w="2520"/>
            <w:vAlign w:val="center"/>
          </w:tcPr>
          <w:p>
            <w:r>
              <w:t>09 Nov - 13 Nov 2026</w:t>
            </w:r>
          </w:p>
        </w:tc>
        <w:tc>
          <w:tcPr>
            <w:tcW w:type="dxa" w:w="2520"/>
            <w:vAlign w:val="center"/>
          </w:tcPr>
          <w:p>
            <w:r>
              <w:t>Differential testing and evidence engine</w:t>
            </w:r>
          </w:p>
        </w:tc>
        <w:tc>
          <w:tcPr>
            <w:tcW w:type="dxa" w:w="2520"/>
            <w:vAlign w:val="center"/>
          </w:tcPr>
          <w:p>
            <w:r>
              <w:t>Validation demo</w:t>
            </w:r>
          </w:p>
        </w:tc>
      </w:tr>
      <w:tr>
        <w:tc>
          <w:tcPr>
            <w:tcW w:type="dxa" w:w="2520"/>
            <w:vAlign w:val="center"/>
          </w:tcPr>
          <w:p>
            <w:r>
              <w:t>Sprint 10</w:t>
            </w:r>
          </w:p>
        </w:tc>
        <w:tc>
          <w:tcPr>
            <w:tcW w:type="dxa" w:w="2520"/>
            <w:vAlign w:val="center"/>
          </w:tcPr>
          <w:p>
            <w:r>
              <w:t>16 Nov - 20 Nov 2026</w:t>
            </w:r>
          </w:p>
        </w:tc>
        <w:tc>
          <w:tcPr>
            <w:tcW w:type="dxa" w:w="2520"/>
            <w:vAlign w:val="center"/>
          </w:tcPr>
          <w:p>
            <w:r>
              <w:t>RCA and autonomous remediation loop</w:t>
            </w:r>
          </w:p>
        </w:tc>
        <w:tc>
          <w:tcPr>
            <w:tcW w:type="dxa" w:w="2520"/>
            <w:vAlign w:val="center"/>
          </w:tcPr>
          <w:p>
            <w:r>
              <w:t>Feedback-loop demo</w:t>
            </w:r>
          </w:p>
        </w:tc>
      </w:tr>
      <w:tr>
        <w:tc>
          <w:tcPr>
            <w:tcW w:type="dxa" w:w="2520"/>
            <w:vAlign w:val="center"/>
          </w:tcPr>
          <w:p>
            <w:r>
              <w:t>Sprint 11</w:t>
            </w:r>
          </w:p>
        </w:tc>
        <w:tc>
          <w:tcPr>
            <w:tcW w:type="dxa" w:w="2520"/>
            <w:vAlign w:val="center"/>
          </w:tcPr>
          <w:p>
            <w:r>
              <w:t>23 Nov - 27 Nov 2026</w:t>
            </w:r>
          </w:p>
        </w:tc>
        <w:tc>
          <w:tcPr>
            <w:tcW w:type="dxa" w:w="2520"/>
            <w:vAlign w:val="center"/>
          </w:tcPr>
          <w:p>
            <w:r>
              <w:t>Governance, observability and enterprise hardening</w:t>
            </w:r>
          </w:p>
        </w:tc>
        <w:tc>
          <w:tcPr>
            <w:tcW w:type="dxa" w:w="2520"/>
            <w:vAlign w:val="center"/>
          </w:tcPr>
          <w:p>
            <w:r>
              <w:t>Ops readiness</w:t>
            </w:r>
          </w:p>
        </w:tc>
      </w:tr>
      <w:tr>
        <w:tc>
          <w:tcPr>
            <w:tcW w:type="dxa" w:w="2520"/>
            <w:vAlign w:val="center"/>
          </w:tcPr>
          <w:p>
            <w:r>
              <w:t>Sprint 12</w:t>
            </w:r>
          </w:p>
        </w:tc>
        <w:tc>
          <w:tcPr>
            <w:tcW w:type="dxa" w:w="2520"/>
            <w:vAlign w:val="center"/>
          </w:tcPr>
          <w:p>
            <w:r>
              <w:t>30 Nov - 04 Dec 2026</w:t>
            </w:r>
          </w:p>
        </w:tc>
        <w:tc>
          <w:tcPr>
            <w:tcW w:type="dxa" w:w="2520"/>
            <w:vAlign w:val="center"/>
          </w:tcPr>
          <w:p>
            <w:r>
              <w:t>Productisation, scale and production readiness</w:t>
            </w:r>
          </w:p>
        </w:tc>
        <w:tc>
          <w:tcPr>
            <w:tcW w:type="dxa" w:w="2520"/>
            <w:vAlign w:val="center"/>
          </w:tcPr>
          <w:p>
            <w:r>
              <w:t>Product backlog</w:t>
            </w:r>
          </w:p>
        </w:tc>
      </w:tr>
    </w:tbl>
    <w:p>
      <w:pPr>
        <w:pStyle w:val="Heading1"/>
      </w:pPr>
      <w:r>
        <w:t>20. Architecture Decisions Requiring Organisation Input</w:t>
      </w:r>
    </w:p>
    <w:p>
      <w:pPr>
        <w:pStyle w:val="ListNumber"/>
      </w:pPr>
      <w:r>
        <w:t>Approved source control, CI/CD, artefact repository and deployment platform.</w:t>
      </w:r>
    </w:p>
    <w:p>
      <w:pPr>
        <w:pStyle w:val="ListNumber"/>
      </w:pPr>
      <w:r>
        <w:t>ACE runtime versions and supported node/custom-extension inventory.</w:t>
      </w:r>
    </w:p>
    <w:p>
      <w:pPr>
        <w:pStyle w:val="ListNumber"/>
      </w:pPr>
      <w:r>
        <w:t>Canonical Spring Boot framework repository and architecture authority.</w:t>
      </w:r>
    </w:p>
    <w:p>
      <w:pPr>
        <w:pStyle w:val="ListNumber"/>
      </w:pPr>
      <w:r>
        <w:t>Production-traffic and service-registry systems for dormancy evidence.</w:t>
      </w:r>
    </w:p>
    <w:p>
      <w:pPr>
        <w:pStyle w:val="ListNumber"/>
      </w:pPr>
      <w:r>
        <w:t>Approved model providers, data residency, model gateway and prompt-retention rules.</w:t>
      </w:r>
    </w:p>
    <w:p>
      <w:pPr>
        <w:pStyle w:val="ListNumber"/>
      </w:pPr>
      <w:r>
        <w:t>Identity provider, role model, approver groups and gate bypass authority.</w:t>
      </w:r>
    </w:p>
    <w:p>
      <w:pPr>
        <w:pStyle w:val="ListNumber"/>
      </w:pPr>
      <w:r>
        <w:t>Confidence thresholds and classes of change eligible for autonomous remediation.</w:t>
      </w:r>
    </w:p>
    <w:p>
      <w:pPr>
        <w:pStyle w:val="ListNumber"/>
      </w:pPr>
      <w:r>
        <w:t>Test-data classification, masking rules and retention periods.</w:t>
      </w:r>
    </w:p>
    <w:p>
      <w:pPr>
        <w:pStyle w:val="ListNumber"/>
      </w:pPr>
      <w:r>
        <w:t>Non-functional targets and promotion criteria for migrated services.</w:t>
      </w:r>
    </w:p>
    <w:p>
      <w:pPr>
        <w:pStyle w:val="ListNumber"/>
      </w:pPr>
      <w:r>
        <w:t>Holiday calendar, role capacity and actual programme start date.</w:t>
      </w:r>
    </w:p>
    <w:p>
      <w:pPr>
        <w:pStyle w:val="Heading1"/>
      </w:pPr>
      <w:r>
        <w:t>21. Acceptance Criteria for the Factory</w:t>
      </w:r>
    </w:p>
    <w:p>
      <w:pPr>
        <w:pStyle w:val="ListBullet"/>
      </w:pPr>
      <w:r>
        <w:t>A user can onboard an ACE service and configure optional stages and each human gate through the UI or API.</w:t>
      </w:r>
    </w:p>
    <w:p>
      <w:pPr>
        <w:pStyle w:val="ListBullet"/>
      </w:pPr>
      <w:r>
        <w:t>The factory produces a versioned Spring framework template, ACE analysis document, schema-valid migration YAML and approved migration plan.</w:t>
      </w:r>
    </w:p>
    <w:p>
      <w:pPr>
        <w:pStyle w:val="ListBullet"/>
      </w:pPr>
      <w:r>
        <w:t>Generated Spring Boot code compiles, passes configured quality/security gates and is traceable to source behaviour and plan items.</w:t>
      </w:r>
    </w:p>
    <w:p>
      <w:pPr>
        <w:pStyle w:val="ListBullet"/>
      </w:pPr>
      <w:r>
        <w:t>The same logical test cases can be executed against ACE and Spring Boot, with explainable variance records and immutable evidence.</w:t>
      </w:r>
    </w:p>
    <w:p>
      <w:pPr>
        <w:pStyle w:val="ListBullet"/>
      </w:pPr>
      <w:r>
        <w:t>Feedback iterations perform RCA, follow confidence policy, request clarification where required and rerun regression tests.</w:t>
      </w:r>
    </w:p>
    <w:p>
      <w:pPr>
        <w:pStyle w:val="ListBullet"/>
      </w:pPr>
      <w:r>
        <w:t>Every document, code revision, agent action, approval, override and rollback is logged with identity, time and version lineage.</w:t>
      </w:r>
    </w:p>
    <w:p>
      <w:pPr>
        <w:pStyle w:val="ListBullet"/>
      </w:pPr>
      <w:r>
        <w:t>An authorised user can restore any prior iteration without deleting subsequent history.</w:t>
      </w:r>
    </w:p>
    <w:p>
      <w:pPr>
        <w:pStyle w:val="ListBullet"/>
      </w:pPr>
      <w:r>
        <w:t>Production promotion cannot occur without the configured final approval and evidence bundle.</w:t>
      </w:r>
    </w:p>
    <w:p>
      <w:pPr>
        <w:pStyle w:val="Heading1"/>
      </w:pPr>
      <w:r>
        <w:t>22. Conclusion</w:t>
      </w:r>
    </w:p>
    <w:p>
      <w:r>
        <w:t>This architecture establishes a controlled migration product rather than a collection of prompts. Its defining capabilities are durable orchestration, specialised agents, deterministic engineering validation, configurable human governance, evidence-backed remediation and reversible delivery. The separation of planes and adapter-based integration allows the factory to be introduced incrementally while preserving organisation control over technology choices, data handling and release authority.</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IBM ACE Agentic Migration Factory | Formal Architecture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4F4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AVHI GUPTA</dc:creator>
  <keywords/>
  <dc:description>generated by python-docx</dc:description>
  <lastModifiedBy>AVHI GUPTA</lastModifiedBy>
  <revision>1</revision>
  <dcterms:created xsi:type="dcterms:W3CDTF">2026-09-07T11:55:53.7565959Z</dcterms:created>
  <dcterms:modified xsi:type="dcterms:W3CDTF">2026-09-07T11:55:53.7565959Z</dcterms:modified>
  <category/>
</coreProperties>
</file>