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312" w:lineRule="auto"/>
        <w:jc w:val="center"/>
        <w:rPr>
          <w:b w:val="1"/>
          <w:color w:val="7f7f7f"/>
          <w:highlight w:val="white"/>
          <w:u w:val="single"/>
        </w:rPr>
      </w:pPr>
      <w:r w:rsidDel="00000000" w:rsidR="00000000" w:rsidRPr="00000000">
        <w:rPr>
          <w:rtl w:val="0"/>
        </w:rPr>
      </w:r>
    </w:p>
    <w:p w:rsidR="00000000" w:rsidDel="00000000" w:rsidP="00000000" w:rsidRDefault="00000000" w:rsidRPr="00000000" w14:paraId="00000002">
      <w:pPr>
        <w:spacing w:after="40" w:before="40" w:line="312" w:lineRule="auto"/>
        <w:jc w:val="center"/>
        <w:rPr>
          <w:b w:val="1"/>
          <w:color w:val="7f7f7f"/>
          <w:highlight w:val="white"/>
          <w:u w:val="single"/>
        </w:rPr>
      </w:pPr>
      <w:r w:rsidDel="00000000" w:rsidR="00000000" w:rsidRPr="00000000">
        <w:rPr>
          <w:b w:val="1"/>
          <w:color w:val="7f7f7f"/>
          <w:highlight w:val="white"/>
          <w:u w:val="single"/>
          <w:rtl w:val="0"/>
        </w:rPr>
        <w:t xml:space="preserve">JOB DESCRIPTION</w:t>
      </w:r>
    </w:p>
    <w:p w:rsidR="00000000" w:rsidDel="00000000" w:rsidP="00000000" w:rsidRDefault="00000000" w:rsidRPr="00000000" w14:paraId="00000003">
      <w:pPr>
        <w:spacing w:after="40" w:before="40" w:line="312" w:lineRule="auto"/>
        <w:rPr>
          <w:color w:val="7f7f7f"/>
          <w:highlight w:val="white"/>
        </w:rPr>
      </w:pPr>
      <w:r w:rsidDel="00000000" w:rsidR="00000000" w:rsidRPr="00000000">
        <w:rPr>
          <w:rtl w:val="0"/>
        </w:rPr>
      </w:r>
    </w:p>
    <w:p w:rsidR="00000000" w:rsidDel="00000000" w:rsidP="00000000" w:rsidRDefault="00000000" w:rsidRPr="00000000" w14:paraId="00000004">
      <w:pPr>
        <w:spacing w:after="40" w:before="40" w:line="312" w:lineRule="auto"/>
        <w:rPr>
          <w:b w:val="1"/>
          <w:color w:val="7f7f7f"/>
          <w:highlight w:val="white"/>
          <w:u w:val="single"/>
        </w:rPr>
      </w:pPr>
      <w:r w:rsidDel="00000000" w:rsidR="00000000" w:rsidRPr="00000000">
        <w:rPr>
          <w:b w:val="1"/>
          <w:color w:val="7f7f7f"/>
          <w:highlight w:val="white"/>
          <w:u w:val="single"/>
          <w:rtl w:val="0"/>
        </w:rPr>
        <w:t xml:space="preserve">COMPANY</w:t>
      </w:r>
    </w:p>
    <w:p w:rsidR="00000000" w:rsidDel="00000000" w:rsidP="00000000" w:rsidRDefault="00000000" w:rsidRPr="00000000" w14:paraId="00000005">
      <w:pPr>
        <w:spacing w:after="40" w:before="40" w:line="312" w:lineRule="auto"/>
        <w:rPr>
          <w:color w:val="7f7f7f"/>
          <w:highlight w:val="white"/>
        </w:rPr>
      </w:pPr>
      <w:r w:rsidDel="00000000" w:rsidR="00000000" w:rsidRPr="00000000">
        <w:rPr>
          <w:color w:val="7f7f7f"/>
          <w:highlight w:val="white"/>
          <w:rtl w:val="0"/>
        </w:rPr>
        <w:t xml:space="preserve">Tata Tele Business Services (TTBS), belonging to the prestigious TATA Group, is the country’s leading enabler of connectivity and communication solutions for businesses. With services ranging from connectivity, collaboration, cloud, security, and marketing solutions, TTBS offers the largest portfolio of ICT services for businesses in India. With an unwavering focus on customer-centricity and innovation, TTBS continues to garner recognition from customers and peers alike.</w:t>
      </w:r>
    </w:p>
    <w:p w:rsidR="00000000" w:rsidDel="00000000" w:rsidP="00000000" w:rsidRDefault="00000000" w:rsidRPr="00000000" w14:paraId="00000006">
      <w:pPr>
        <w:jc w:val="center"/>
        <w:rPr/>
      </w:pPr>
      <w:r w:rsidDel="00000000" w:rsidR="00000000" w:rsidRPr="00000000">
        <w:rPr>
          <w:rtl w:val="0"/>
        </w:rPr>
      </w:r>
    </w:p>
    <w:tbl>
      <w:tblPr>
        <w:tblStyle w:val="Table1"/>
        <w:tblW w:w="921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6662"/>
        <w:tblGridChange w:id="0">
          <w:tblGrid>
            <w:gridCol w:w="2552"/>
            <w:gridCol w:w="6662"/>
          </w:tblGrid>
        </w:tblGridChange>
      </w:tblGrid>
      <w:tr>
        <w:trPr>
          <w:cantSplit w:val="0"/>
          <w:tblHeader w:val="0"/>
        </w:trPr>
        <w:tc>
          <w:tcPr/>
          <w:p w:rsidR="00000000" w:rsidDel="00000000" w:rsidP="00000000" w:rsidRDefault="00000000" w:rsidRPr="00000000" w14:paraId="00000007">
            <w:pPr>
              <w:spacing w:after="40" w:before="40" w:line="312" w:lineRule="auto"/>
              <w:rPr/>
            </w:pPr>
            <w:r w:rsidDel="00000000" w:rsidR="00000000" w:rsidRPr="00000000">
              <w:rPr>
                <w:rtl w:val="0"/>
              </w:rPr>
              <w:t xml:space="preserve">Unique Role</w:t>
            </w:r>
          </w:p>
        </w:tc>
        <w:tc>
          <w:tcPr/>
          <w:p w:rsidR="00000000" w:rsidDel="00000000" w:rsidP="00000000" w:rsidRDefault="00000000" w:rsidRPr="00000000" w14:paraId="00000008">
            <w:pPr>
              <w:spacing w:after="40" w:before="40" w:line="312" w:lineRule="auto"/>
              <w:rPr/>
            </w:pPr>
            <w:r w:rsidDel="00000000" w:rsidR="00000000" w:rsidRPr="00000000">
              <w:rPr>
                <w:rtl w:val="0"/>
              </w:rPr>
              <w:t xml:space="preserve">Lead – Capability Building COE</w:t>
            </w:r>
          </w:p>
        </w:tc>
      </w:tr>
      <w:tr>
        <w:trPr>
          <w:cantSplit w:val="0"/>
          <w:tblHeader w:val="0"/>
        </w:trPr>
        <w:tc>
          <w:tcPr/>
          <w:p w:rsidR="00000000" w:rsidDel="00000000" w:rsidP="00000000" w:rsidRDefault="00000000" w:rsidRPr="00000000" w14:paraId="00000009">
            <w:pPr>
              <w:spacing w:after="40" w:before="40" w:line="312" w:lineRule="auto"/>
              <w:rPr/>
            </w:pPr>
            <w:r w:rsidDel="00000000" w:rsidR="00000000" w:rsidRPr="00000000">
              <w:rPr>
                <w:rtl w:val="0"/>
              </w:rPr>
              <w:t xml:space="preserve">Reason for existence of the role</w:t>
            </w:r>
          </w:p>
        </w:tc>
        <w:tc>
          <w:tcPr/>
          <w:p w:rsidR="00000000" w:rsidDel="00000000" w:rsidP="00000000" w:rsidRDefault="00000000" w:rsidRPr="00000000" w14:paraId="0000000A">
            <w:pPr>
              <w:spacing w:after="40" w:before="40" w:line="312" w:lineRule="auto"/>
              <w:rPr/>
            </w:pPr>
            <w:r w:rsidDel="00000000" w:rsidR="00000000" w:rsidRPr="00000000">
              <w:rPr>
                <w:rtl w:val="0"/>
              </w:rPr>
              <w:t xml:space="preserve">Create a learning culture and align learning to the business performance  </w:t>
            </w:r>
          </w:p>
        </w:tc>
      </w:tr>
      <w:tr>
        <w:trPr>
          <w:cantSplit w:val="0"/>
          <w:tblHeader w:val="0"/>
        </w:trPr>
        <w:tc>
          <w:tcPr/>
          <w:p w:rsidR="00000000" w:rsidDel="00000000" w:rsidP="00000000" w:rsidRDefault="00000000" w:rsidRPr="00000000" w14:paraId="0000000B">
            <w:pPr>
              <w:spacing w:after="40" w:before="40" w:line="312" w:lineRule="auto"/>
              <w:rPr/>
            </w:pPr>
            <w:r w:rsidDel="00000000" w:rsidR="00000000" w:rsidRPr="00000000">
              <w:rPr>
                <w:rtl w:val="0"/>
              </w:rPr>
              <w:t xml:space="preserve">Band</w:t>
            </w:r>
          </w:p>
        </w:tc>
        <w:tc>
          <w:tcPr/>
          <w:p w:rsidR="00000000" w:rsidDel="00000000" w:rsidP="00000000" w:rsidRDefault="00000000" w:rsidRPr="00000000" w14:paraId="0000000C">
            <w:pPr>
              <w:spacing w:after="40" w:before="40" w:line="312" w:lineRule="auto"/>
              <w:rPr/>
            </w:pPr>
            <w:r w:rsidDel="00000000" w:rsidR="00000000" w:rsidRPr="00000000">
              <w:rPr>
                <w:rtl w:val="0"/>
              </w:rPr>
              <w:t xml:space="preserve">General Manager (F) </w:t>
            </w:r>
          </w:p>
        </w:tc>
      </w:tr>
      <w:tr>
        <w:trPr>
          <w:cantSplit w:val="0"/>
          <w:trHeight w:val="555" w:hRule="atLeast"/>
          <w:tblHeader w:val="0"/>
        </w:trPr>
        <w:tc>
          <w:tcPr/>
          <w:p w:rsidR="00000000" w:rsidDel="00000000" w:rsidP="00000000" w:rsidRDefault="00000000" w:rsidRPr="00000000" w14:paraId="0000000D">
            <w:pPr>
              <w:spacing w:after="40" w:before="40" w:line="312" w:lineRule="auto"/>
              <w:rPr/>
            </w:pPr>
            <w:r w:rsidDel="00000000" w:rsidR="00000000" w:rsidRPr="00000000">
              <w:rPr>
                <w:rtl w:val="0"/>
              </w:rPr>
              <w:t xml:space="preserve">Reporting to</w:t>
            </w:r>
          </w:p>
        </w:tc>
        <w:tc>
          <w:tcPr/>
          <w:p w:rsidR="00000000" w:rsidDel="00000000" w:rsidP="00000000" w:rsidRDefault="00000000" w:rsidRPr="00000000" w14:paraId="0000000E">
            <w:pPr>
              <w:spacing w:after="40" w:before="40" w:line="312" w:lineRule="auto"/>
              <w:rPr/>
            </w:pPr>
            <w:r w:rsidDel="00000000" w:rsidR="00000000" w:rsidRPr="00000000">
              <w:rPr>
                <w:rtl w:val="0"/>
              </w:rPr>
              <w:t xml:space="preserve">CHRO</w:t>
            </w:r>
          </w:p>
        </w:tc>
      </w:tr>
      <w:tr>
        <w:trPr>
          <w:cantSplit w:val="0"/>
          <w:tblHeader w:val="0"/>
        </w:trPr>
        <w:tc>
          <w:tcPr/>
          <w:p w:rsidR="00000000" w:rsidDel="00000000" w:rsidP="00000000" w:rsidRDefault="00000000" w:rsidRPr="00000000" w14:paraId="0000000F">
            <w:pPr>
              <w:spacing w:after="40" w:before="40" w:line="312" w:lineRule="auto"/>
              <w:rPr/>
            </w:pPr>
            <w:r w:rsidDel="00000000" w:rsidR="00000000" w:rsidRPr="00000000">
              <w:rPr>
                <w:rtl w:val="0"/>
              </w:rPr>
              <w:t xml:space="preserve">No. of reportees</w:t>
            </w:r>
          </w:p>
        </w:tc>
        <w:tc>
          <w:tcPr/>
          <w:p w:rsidR="00000000" w:rsidDel="00000000" w:rsidP="00000000" w:rsidRDefault="00000000" w:rsidRPr="00000000" w14:paraId="00000010">
            <w:pPr>
              <w:spacing w:after="40" w:before="40" w:line="312" w:lineRule="auto"/>
              <w:rPr/>
            </w:pPr>
            <w:r w:rsidDel="00000000" w:rsidR="00000000" w:rsidRPr="00000000">
              <w:rPr>
                <w:rtl w:val="0"/>
              </w:rPr>
              <w:t xml:space="preserve">2 or 3 (Manager / Sr. Manager level) (C/D)</w:t>
            </w:r>
          </w:p>
        </w:tc>
      </w:tr>
      <w:tr>
        <w:trPr>
          <w:cantSplit w:val="0"/>
          <w:tblHeader w:val="0"/>
        </w:trPr>
        <w:tc>
          <w:tcPr/>
          <w:p w:rsidR="00000000" w:rsidDel="00000000" w:rsidP="00000000" w:rsidRDefault="00000000" w:rsidRPr="00000000" w14:paraId="00000011">
            <w:pPr>
              <w:spacing w:after="40" w:before="40" w:line="312" w:lineRule="auto"/>
              <w:rPr/>
            </w:pPr>
            <w:r w:rsidDel="00000000" w:rsidR="00000000" w:rsidRPr="00000000">
              <w:rPr>
                <w:rtl w:val="0"/>
              </w:rPr>
              <w:t xml:space="preserve">Location</w:t>
            </w:r>
          </w:p>
        </w:tc>
        <w:tc>
          <w:tcPr/>
          <w:p w:rsidR="00000000" w:rsidDel="00000000" w:rsidP="00000000" w:rsidRDefault="00000000" w:rsidRPr="00000000" w14:paraId="00000012">
            <w:pPr>
              <w:spacing w:after="40" w:before="40" w:line="312" w:lineRule="auto"/>
              <w:rPr/>
            </w:pPr>
            <w:r w:rsidDel="00000000" w:rsidR="00000000" w:rsidRPr="00000000">
              <w:rPr>
                <w:rtl w:val="0"/>
              </w:rPr>
              <w:t xml:space="preserve">Navi Mumbai</w:t>
            </w:r>
          </w:p>
        </w:tc>
      </w:tr>
      <w:tr>
        <w:trPr>
          <w:cantSplit w:val="0"/>
          <w:tblHeader w:val="0"/>
        </w:trPr>
        <w:tc>
          <w:tcPr/>
          <w:p w:rsidR="00000000" w:rsidDel="00000000" w:rsidP="00000000" w:rsidRDefault="00000000" w:rsidRPr="00000000" w14:paraId="00000013">
            <w:pPr>
              <w:spacing w:after="40" w:before="40" w:line="312" w:lineRule="auto"/>
              <w:rPr/>
            </w:pPr>
            <w:r w:rsidDel="00000000" w:rsidR="00000000" w:rsidRPr="00000000">
              <w:rPr>
                <w:rtl w:val="0"/>
              </w:rPr>
              <w:t xml:space="preserve">Relevant Experience</w:t>
            </w:r>
          </w:p>
        </w:tc>
        <w:tc>
          <w:tcPr/>
          <w:p w:rsidR="00000000" w:rsidDel="00000000" w:rsidP="00000000" w:rsidRDefault="00000000" w:rsidRPr="00000000" w14:paraId="00000014">
            <w:pPr>
              <w:spacing w:after="40" w:before="40" w:line="312" w:lineRule="auto"/>
              <w:rPr/>
            </w:pPr>
            <w:r w:rsidDel="00000000" w:rsidR="00000000" w:rsidRPr="00000000">
              <w:rPr>
                <w:rtl w:val="0"/>
              </w:rPr>
              <w:t xml:space="preserve">9 to 14 years</w:t>
            </w:r>
          </w:p>
        </w:tc>
      </w:tr>
      <w:tr>
        <w:trPr>
          <w:cantSplit w:val="0"/>
          <w:tblHeader w:val="0"/>
        </w:trPr>
        <w:tc>
          <w:tcPr/>
          <w:p w:rsidR="00000000" w:rsidDel="00000000" w:rsidP="00000000" w:rsidRDefault="00000000" w:rsidRPr="00000000" w14:paraId="00000015">
            <w:pPr>
              <w:spacing w:after="40" w:before="40" w:line="312" w:lineRule="auto"/>
              <w:rPr/>
            </w:pPr>
            <w:r w:rsidDel="00000000" w:rsidR="00000000" w:rsidRPr="00000000">
              <w:rPr>
                <w:rtl w:val="0"/>
              </w:rPr>
              <w:t xml:space="preserve">Exposure</w:t>
            </w:r>
          </w:p>
        </w:tc>
        <w:tc>
          <w:tcPr/>
          <w:p w:rsidR="00000000" w:rsidDel="00000000" w:rsidP="00000000" w:rsidRDefault="00000000" w:rsidRPr="00000000" w14:paraId="00000016">
            <w:pPr>
              <w:spacing w:after="40" w:before="40" w:line="312" w:lineRule="auto"/>
              <w:rPr/>
            </w:pPr>
            <w:r w:rsidDel="00000000" w:rsidR="00000000" w:rsidRPr="00000000">
              <w:rPr>
                <w:rtl w:val="0"/>
              </w:rPr>
              <w:t xml:space="preserve">End-to- end L&amp;D Lifecycle Management – TNA, Budgeting, Content Development, LMS</w:t>
            </w:r>
          </w:p>
          <w:p w:rsidR="00000000" w:rsidDel="00000000" w:rsidP="00000000" w:rsidRDefault="00000000" w:rsidRPr="00000000" w14:paraId="00000017">
            <w:pPr>
              <w:spacing w:after="40" w:before="40" w:line="312" w:lineRule="auto"/>
              <w:rPr/>
            </w:pPr>
            <w:r w:rsidDel="00000000" w:rsidR="00000000" w:rsidRPr="00000000">
              <w:rPr>
                <w:rtl w:val="0"/>
              </w:rPr>
              <w:t xml:space="preserve">Cloud / SaaS Product Training, Selling Skills Training</w:t>
            </w:r>
          </w:p>
          <w:p w:rsidR="00000000" w:rsidDel="00000000" w:rsidP="00000000" w:rsidRDefault="00000000" w:rsidRPr="00000000" w14:paraId="00000018">
            <w:pPr>
              <w:spacing w:after="40" w:before="40" w:line="312" w:lineRule="auto"/>
              <w:rPr/>
            </w:pPr>
            <w:r w:rsidDel="00000000" w:rsidR="00000000" w:rsidRPr="00000000">
              <w:rPr>
                <w:rtl w:val="0"/>
              </w:rPr>
              <w:t xml:space="preserve">Competencies Design, Key Business Leaders / Stakeholders Management</w:t>
            </w:r>
          </w:p>
        </w:tc>
      </w:tr>
    </w:tbl>
    <w:p w:rsidR="00000000" w:rsidDel="00000000" w:rsidP="00000000" w:rsidRDefault="00000000" w:rsidRPr="00000000" w14:paraId="00000019">
      <w:pPr>
        <w:shd w:fill="ffffff" w:val="clear"/>
        <w:spacing w:after="40" w:before="40" w:line="312" w:lineRule="auto"/>
        <w:ind w:left="720" w:hanging="360"/>
        <w:rPr>
          <w:b w:val="1"/>
        </w:rPr>
      </w:pPr>
      <w:r w:rsidDel="00000000" w:rsidR="00000000" w:rsidRPr="00000000">
        <w:rPr>
          <w:rtl w:val="0"/>
        </w:rPr>
      </w:r>
    </w:p>
    <w:p w:rsidR="00000000" w:rsidDel="00000000" w:rsidP="00000000" w:rsidRDefault="00000000" w:rsidRPr="00000000" w14:paraId="0000001A">
      <w:pPr>
        <w:spacing w:after="40" w:before="40" w:line="312" w:lineRule="auto"/>
        <w:ind w:left="-142" w:firstLine="0"/>
        <w:rPr>
          <w:b w:val="1"/>
          <w:color w:val="7f7f7f"/>
          <w:highlight w:val="white"/>
          <w:u w:val="single"/>
        </w:rPr>
      </w:pPr>
      <w:r w:rsidDel="00000000" w:rsidR="00000000" w:rsidRPr="00000000">
        <w:rPr>
          <w:b w:val="1"/>
          <w:color w:val="7f7f7f"/>
          <w:highlight w:val="white"/>
          <w:u w:val="single"/>
          <w:rtl w:val="0"/>
        </w:rPr>
        <w:t xml:space="preserve">JOB RESPONSIBILITIES </w:t>
      </w:r>
    </w:p>
    <w:p w:rsidR="00000000" w:rsidDel="00000000" w:rsidP="00000000" w:rsidRDefault="00000000" w:rsidRPr="00000000" w14:paraId="0000001B">
      <w:pPr>
        <w:spacing w:after="0" w:lineRule="auto"/>
        <w:ind w:left="66" w:hanging="66"/>
        <w:rPr>
          <w:b w:val="1"/>
          <w:color w:val="808080"/>
        </w:rPr>
      </w:pPr>
      <w:r w:rsidDel="00000000" w:rsidR="00000000" w:rsidRPr="00000000">
        <w:rPr>
          <w:b w:val="1"/>
          <w:color w:val="808080"/>
          <w:u w:val="single"/>
          <w:rtl w:val="0"/>
        </w:rPr>
        <w:t xml:space="preserve">Business Outcomes Linked Learning: </w:t>
      </w:r>
      <w:r w:rsidDel="00000000" w:rsidR="00000000" w:rsidRPr="00000000">
        <w:rPr>
          <w:b w:val="1"/>
          <w:color w:val="808080"/>
          <w:rtl w:val="0"/>
        </w:rPr>
        <w:t xml:space="preserve">Work with Business Leaders to create &amp; deploy end-to-end Capability Development Framework with effectiveness measures and tracking mechanism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Design, Develop and Operationalize the Learning Academy covering structured learning curriculum for each role with effectiveness measures and internal certifications.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highlight w:val="white"/>
          <w:u w:val="none"/>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Partners with Business/Functional/Sales Leaders to design &amp; deploy, Learning Needs Assessments to enhance the effectiveness of employee performance in achieving the goals and objectives of the company.</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Create a Competency Based Learning Framework – Develop competencies for each role, curate learning journey for each role &amp; skill, methodology / process to identify gaps (current and desired level).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Develop and deploy 70:20:10 methodology as end to end “Talent Development Framework”.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Learning </w:t>
      </w: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Programs Deployment – Selling, Product, Process, Functional, Behavioural, Leadership.  Individualized training and development plan that addresses the needs and expectations of the Sales &amp; Non-Sales Teams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Create &amp; deploy framework for measuring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effectiveness of training focussing on employee accomplishments and performance.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Design and deploy focused talent development initiatives to accelerate readiness of high potentials and strengthen succession pipeline.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Develop &amp; Execute “Quarterly and Annual Training Calendar” covering each role.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highlight w:val="white"/>
          <w:u w:val="none"/>
          <w:vertAlign w:val="baseline"/>
          <w:rtl w:val="0"/>
        </w:rPr>
        <w:t xml:space="preserve">Enhance adoption of digital learning</w:t>
      </w:r>
      <w:r w:rsidDel="00000000" w:rsidR="00000000" w:rsidRPr="00000000">
        <w:rPr>
          <w:rtl w:val="0"/>
        </w:rPr>
      </w:r>
    </w:p>
    <w:p w:rsidR="00000000" w:rsidDel="00000000" w:rsidP="00000000" w:rsidRDefault="00000000" w:rsidRPr="00000000" w14:paraId="00000025">
      <w:pPr>
        <w:spacing w:after="40" w:before="40" w:line="312" w:lineRule="auto"/>
        <w:ind w:left="-142" w:firstLine="0"/>
        <w:rPr>
          <w:b w:val="1"/>
          <w:color w:val="7f7f7f"/>
          <w:highlight w:val="white"/>
          <w:u w:val="single"/>
        </w:rPr>
      </w:pPr>
      <w:r w:rsidDel="00000000" w:rsidR="00000000" w:rsidRPr="00000000">
        <w:rPr>
          <w:rtl w:val="0"/>
        </w:rPr>
      </w:r>
    </w:p>
    <w:p w:rsidR="00000000" w:rsidDel="00000000" w:rsidP="00000000" w:rsidRDefault="00000000" w:rsidRPr="00000000" w14:paraId="00000026">
      <w:pPr>
        <w:spacing w:after="40" w:before="40" w:line="312" w:lineRule="auto"/>
        <w:ind w:left="-142" w:firstLine="0"/>
        <w:rPr>
          <w:b w:val="1"/>
          <w:color w:val="7f7f7f"/>
          <w:highlight w:val="white"/>
          <w:u w:val="single"/>
        </w:rPr>
      </w:pPr>
      <w:r w:rsidDel="00000000" w:rsidR="00000000" w:rsidRPr="00000000">
        <w:rPr>
          <w:b w:val="1"/>
          <w:color w:val="7f7f7f"/>
          <w:highlight w:val="white"/>
          <w:u w:val="single"/>
          <w:rtl w:val="0"/>
        </w:rPr>
        <w:t xml:space="preserve">KPIs</w:t>
      </w:r>
    </w:p>
    <w:p w:rsidR="00000000" w:rsidDel="00000000" w:rsidP="00000000" w:rsidRDefault="00000000" w:rsidRPr="00000000" w14:paraId="00000027">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Training Coverage</w:t>
      </w:r>
    </w:p>
    <w:p w:rsidR="00000000" w:rsidDel="00000000" w:rsidP="00000000" w:rsidRDefault="00000000" w:rsidRPr="00000000" w14:paraId="00000028">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Training Programs Curation for critical skills </w:t>
      </w:r>
    </w:p>
    <w:p w:rsidR="00000000" w:rsidDel="00000000" w:rsidP="00000000" w:rsidRDefault="00000000" w:rsidRPr="00000000" w14:paraId="00000029">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Self-learning modules for identified trainings.</w:t>
      </w:r>
    </w:p>
    <w:p w:rsidR="00000000" w:rsidDel="00000000" w:rsidP="00000000" w:rsidRDefault="00000000" w:rsidRPr="00000000" w14:paraId="0000002A">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Time to proficiency/perform.</w:t>
      </w:r>
    </w:p>
    <w:p w:rsidR="00000000" w:rsidDel="00000000" w:rsidP="00000000" w:rsidRDefault="00000000" w:rsidRPr="00000000" w14:paraId="0000002B">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Participants’ Satisfaction Score</w:t>
      </w:r>
    </w:p>
    <w:p w:rsidR="00000000" w:rsidDel="00000000" w:rsidP="00000000" w:rsidRDefault="00000000" w:rsidRPr="00000000" w14:paraId="0000002C">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Employee Engagement Score</w:t>
      </w:r>
    </w:p>
    <w:p w:rsidR="00000000" w:rsidDel="00000000" w:rsidP="00000000" w:rsidRDefault="00000000" w:rsidRPr="00000000" w14:paraId="0000002D">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Stakeholders Satisfaction Score</w:t>
      </w:r>
    </w:p>
    <w:p w:rsidR="00000000" w:rsidDel="00000000" w:rsidP="00000000" w:rsidRDefault="00000000" w:rsidRPr="00000000" w14:paraId="0000002E">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Training Effectiveness Score – L3/L4</w:t>
      </w:r>
    </w:p>
    <w:p w:rsidR="00000000" w:rsidDel="00000000" w:rsidP="00000000" w:rsidRDefault="00000000" w:rsidRPr="00000000" w14:paraId="0000002F">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Knowledge Retention: Post Training KET score</w:t>
      </w:r>
    </w:p>
    <w:p w:rsidR="00000000" w:rsidDel="00000000" w:rsidP="00000000" w:rsidRDefault="00000000" w:rsidRPr="00000000" w14:paraId="00000030">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Digital Adoption</w:t>
      </w:r>
    </w:p>
    <w:p w:rsidR="00000000" w:rsidDel="00000000" w:rsidP="00000000" w:rsidRDefault="00000000" w:rsidRPr="00000000" w14:paraId="00000031">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Competency Matrix – all roles</w:t>
      </w:r>
    </w:p>
    <w:p w:rsidR="00000000" w:rsidDel="00000000" w:rsidP="00000000" w:rsidRDefault="00000000" w:rsidRPr="00000000" w14:paraId="00000032">
      <w:pPr>
        <w:shd w:fill="ffffff" w:val="clear"/>
        <w:tabs>
          <w:tab w:val="left" w:leader="none" w:pos="426"/>
          <w:tab w:val="left" w:leader="none" w:pos="567"/>
        </w:tabs>
        <w:spacing w:after="40" w:before="40" w:line="312" w:lineRule="auto"/>
        <w:ind w:left="426" w:firstLine="0"/>
        <w:rPr>
          <w:color w:val="7f7f7f"/>
          <w:highlight w:val="white"/>
        </w:rPr>
      </w:pPr>
      <w:r w:rsidDel="00000000" w:rsidR="00000000" w:rsidRPr="00000000">
        <w:rPr>
          <w:rtl w:val="0"/>
        </w:rPr>
      </w:r>
    </w:p>
    <w:p w:rsidR="00000000" w:rsidDel="00000000" w:rsidP="00000000" w:rsidRDefault="00000000" w:rsidRPr="00000000" w14:paraId="00000033">
      <w:pPr>
        <w:shd w:fill="ffffff" w:val="clear"/>
        <w:tabs>
          <w:tab w:val="left" w:leader="none" w:pos="426"/>
          <w:tab w:val="left" w:leader="none" w:pos="567"/>
          <w:tab w:val="left" w:leader="none" w:pos="2689"/>
        </w:tabs>
        <w:spacing w:after="40" w:before="40" w:line="312" w:lineRule="auto"/>
        <w:ind w:left="426" w:hanging="568"/>
        <w:rPr>
          <w:color w:val="7f7f7f"/>
          <w:highlight w:val="white"/>
        </w:rPr>
      </w:pPr>
      <w:r w:rsidDel="00000000" w:rsidR="00000000" w:rsidRPr="00000000">
        <w:rPr>
          <w:rtl w:val="0"/>
        </w:rPr>
      </w:r>
    </w:p>
    <w:p w:rsidR="00000000" w:rsidDel="00000000" w:rsidP="00000000" w:rsidRDefault="00000000" w:rsidRPr="00000000" w14:paraId="00000034">
      <w:pPr>
        <w:spacing w:after="40" w:before="40" w:line="312" w:lineRule="auto"/>
        <w:ind w:left="-142" w:firstLine="0"/>
        <w:rPr>
          <w:b w:val="1"/>
          <w:color w:val="7f7f7f"/>
          <w:highlight w:val="white"/>
          <w:u w:val="single"/>
        </w:rPr>
      </w:pPr>
      <w:r w:rsidDel="00000000" w:rsidR="00000000" w:rsidRPr="00000000">
        <w:rPr>
          <w:b w:val="1"/>
          <w:color w:val="7f7f7f"/>
          <w:highlight w:val="white"/>
          <w:u w:val="single"/>
          <w:rtl w:val="0"/>
        </w:rPr>
        <w:t xml:space="preserve">ESSENTIAL SKILLS</w:t>
      </w:r>
    </w:p>
    <w:p w:rsidR="00000000" w:rsidDel="00000000" w:rsidP="00000000" w:rsidRDefault="00000000" w:rsidRPr="00000000" w14:paraId="00000035">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Strong consultative and diagnostic skills</w:t>
      </w:r>
    </w:p>
    <w:p w:rsidR="00000000" w:rsidDel="00000000" w:rsidP="00000000" w:rsidRDefault="00000000" w:rsidRPr="00000000" w14:paraId="00000036">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Ability to manage multiple projects to conclusion at once, with minimal guidance.</w:t>
      </w:r>
    </w:p>
    <w:p w:rsidR="00000000" w:rsidDel="00000000" w:rsidP="00000000" w:rsidRDefault="00000000" w:rsidRPr="00000000" w14:paraId="00000037">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Strong presentation and facilitation skills </w:t>
      </w:r>
    </w:p>
    <w:p w:rsidR="00000000" w:rsidDel="00000000" w:rsidP="00000000" w:rsidRDefault="00000000" w:rsidRPr="00000000" w14:paraId="00000038">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Proven experience of designing, developing, and delivering large-scale, cross-departmental programs and/or strategic change initiatives</w:t>
      </w:r>
    </w:p>
    <w:p w:rsidR="00000000" w:rsidDel="00000000" w:rsidP="00000000" w:rsidRDefault="00000000" w:rsidRPr="00000000" w14:paraId="00000039">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Research &amp; Insights  </w:t>
      </w:r>
    </w:p>
    <w:p w:rsidR="00000000" w:rsidDel="00000000" w:rsidP="00000000" w:rsidRDefault="00000000" w:rsidRPr="00000000" w14:paraId="0000003A">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Persuasion and Influencing </w:t>
      </w:r>
    </w:p>
    <w:p w:rsidR="00000000" w:rsidDel="00000000" w:rsidP="00000000" w:rsidRDefault="00000000" w:rsidRPr="00000000" w14:paraId="0000003B">
      <w:pPr>
        <w:numPr>
          <w:ilvl w:val="0"/>
          <w:numId w:val="1"/>
        </w:numPr>
        <w:shd w:fill="ffffff" w:val="clear"/>
        <w:tabs>
          <w:tab w:val="left" w:leader="none" w:pos="426"/>
          <w:tab w:val="left" w:leader="none" w:pos="567"/>
        </w:tabs>
        <w:spacing w:after="40" w:before="40" w:line="312" w:lineRule="auto"/>
        <w:ind w:left="426" w:hanging="568"/>
        <w:rPr>
          <w:color w:val="7f7f7f"/>
          <w:highlight w:val="white"/>
        </w:rPr>
      </w:pPr>
      <w:r w:rsidDel="00000000" w:rsidR="00000000" w:rsidRPr="00000000">
        <w:rPr>
          <w:color w:val="7f7f7f"/>
          <w:highlight w:val="white"/>
          <w:rtl w:val="0"/>
        </w:rPr>
        <w:t xml:space="preserve">Project Management </w:t>
      </w:r>
    </w:p>
    <w:p w:rsidR="00000000" w:rsidDel="00000000" w:rsidP="00000000" w:rsidRDefault="00000000" w:rsidRPr="00000000" w14:paraId="0000003C">
      <w:pPr>
        <w:shd w:fill="ffffff" w:val="clear"/>
        <w:tabs>
          <w:tab w:val="left" w:leader="none" w:pos="426"/>
          <w:tab w:val="left" w:leader="none" w:pos="567"/>
        </w:tabs>
        <w:spacing w:after="40" w:before="40" w:line="312" w:lineRule="auto"/>
        <w:ind w:left="426" w:firstLine="0"/>
        <w:rPr>
          <w:color w:val="7f7f7f"/>
          <w:highlight w:val="white"/>
        </w:rPr>
      </w:pPr>
      <w:r w:rsidDel="00000000" w:rsidR="00000000" w:rsidRPr="00000000">
        <w:rPr>
          <w:rtl w:val="0"/>
        </w:rPr>
      </w:r>
    </w:p>
    <w:sectPr>
      <w:pgSz w:h="16838" w:w="11906" w:orient="portrait"/>
      <w:pgMar w:bottom="709" w:top="141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