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drawing>
          <wp:inline distT="0" distB="0" distL="0" distR="0">
            <wp:extent cx="2857500" cy="16192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b/>
          <w:bCs/>
          <w:color w:val="0B4A7F"/>
          <w:spacing w:val="120"/>
          <w:sz w:val="56"/>
          <w:szCs w:val="56"/>
        </w:rPr>
        <w:t xml:space="preserve">VORTEX</w:t>
      </w:r>
    </w:p>
    <w:p>
      <w:pPr>
        <w:jc w:val="center"/>
      </w:pPr>
      <w:r>
        <w:rPr>
          <w:color w:val="5B6B7B"/>
          <w:sz w:val="22"/>
          <w:szCs w:val="22"/>
        </w:rPr>
        <w:t xml:space="preserve">Ingeniería Eléctrica · Automatismo · Seguridad de Máquinas</w:t>
      </w:r>
    </w:p>
    <w:p>
      <w:pPr>
        <w:spacing w:before="900"/>
        <w:jc w:val="center"/>
      </w:pPr>
      <w:r>
        <w:rPr>
          <w:b/>
          <w:bCs/>
          <w:color w:val="10202F"/>
          <w:sz w:val="44"/>
          <w:szCs w:val="44"/>
        </w:rPr>
        <w:t xml:space="preserve">PERFIL CORPORATIVO</w:t>
      </w:r>
    </w:p>
    <w:p>
      <w:pPr>
        <w:spacing w:before="200"/>
        <w:jc w:val="center"/>
      </w:pPr>
      <w:r>
        <w:rPr>
          <w:color w:val="1F5E96"/>
          <w:sz w:val="26"/>
          <w:szCs w:val="26"/>
        </w:rPr>
        <w:t xml:space="preserve">Identidad, estructura organizativa, roles y servicios</w:t>
      </w:r>
    </w:p>
    <w:p>
      <w:pPr>
        <w:spacing w:before="1300"/>
        <w:jc w:val="center"/>
      </w:pPr>
      <w:r>
        <w:rPr>
          <w:b/>
          <w:bCs/>
          <w:sz w:val="22"/>
          <w:szCs w:val="22"/>
        </w:rPr>
        <w:t xml:space="preserve">Carpintería Industrial</w:t>
      </w:r>
    </w:p>
    <w:p>
      <w:pPr>
        <w:jc w:val="center"/>
      </w:pPr>
      <w:r>
        <w:rPr>
          <w:color w:val="5B6B7B"/>
          <w:sz w:val="20"/>
          <w:szCs w:val="20"/>
        </w:rPr>
        <w:t xml:space="preserve">Equipo: Kevin Dibella · Octavio Di Carlantonio · Lucio Di Carlantonio · Agustín Duarte</w:t>
      </w:r>
    </w:p>
    <w:p>
      <w:pPr>
        <w:jc w:val="center"/>
      </w:pPr>
      <w:r>
        <w:rPr>
          <w:color w:val="5B6B7B"/>
          <w:sz w:val="20"/>
          <w:szCs w:val="20"/>
        </w:rPr>
        <w:t xml:space="preserve">Revisión 1.0 — Octubre 2026</w:t>
      </w:r>
    </w:p>
    <w:p>
      <w:pPr>
        <w:pStyle w:val="Heading2"/>
        <w:pageBreakBefore/>
        <w:spacing w:after="200"/>
      </w:pPr>
      <w:r>
        <w:t xml:space="preserve">1. Quiénes somos</w:t>
      </w:r>
    </w:p>
    <w:p>
      <w:pPr>
        <w:spacing w:after="120" w:line="300"/>
        <w:jc w:val="both"/>
      </w:pPr>
      <w:r>
        <w:rPr>
          <w:b/>
          <w:bCs/>
        </w:rPr>
        <w:t xml:space="preserve">Vortex</w:t>
      </w:r>
      <w:r>
        <w:t xml:space="preserve"> es una empresa de servicios técnicos especializada en </w:t>
      </w:r>
      <w:r>
        <w:rPr>
          <w:b/>
          <w:bCs/>
        </w:rPr>
        <w:t xml:space="preserve">instalaciones eléctricas industriales y comerciales, automatismo de máquinas, seguridad de máquinas y mantenimiento</w:t>
      </w:r>
      <w:r>
        <w:t xml:space="preserve">. Nace como equipo de proyecto aplicado a un caso real —una carpintería industrial— y se estructura como una firma de ingeniería capaz de acompañar al cliente desde el relevamiento hasta la puesta en marcha.</w:t>
      </w:r>
    </w:p>
    <w:p>
      <w:pPr>
        <w:spacing w:after="120" w:line="300"/>
        <w:jc w:val="both"/>
      </w:pPr>
      <w:r>
        <w:t xml:space="preserve">Nuestro diferencial es integrar en una sola entrega lo eléctrico, lo mecánico y lo documental: cálculos con respaldo normativo, planos claros, modelado 3D y presupuestos transparentes.</w:t>
      </w:r>
    </w:p>
    <w:p>
      <w:pPr>
        <w:pStyle w:val="Heading3"/>
        <w:spacing w:after="120" w:before="240"/>
      </w:pPr>
      <w:r>
        <w:t xml:space="preserve">1.1 Ficha institucional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B4A7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7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B4A7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Razón social</w:t>
            </w:r>
          </w:p>
        </w:tc>
        <w:tc>
          <w:tcPr>
            <w:tcW w:type="dxa" w:w="67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Vortex — Servicios Técnicos</w:t>
            </w:r>
          </w:p>
        </w:tc>
      </w:tr>
      <w:t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Rubro</w:t>
            </w:r>
          </w:p>
        </w:tc>
        <w:tc>
          <w:tcPr>
            <w:tcW w:type="dxa" w:w="67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Ingeniería eléctrica, automatismo y mantenimiento industrial</w:t>
            </w:r>
          </w:p>
        </w:tc>
      </w:tr>
      <w:t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Identidad visual</w:t>
            </w:r>
          </w:p>
        </w:tc>
        <w:tc>
          <w:tcPr>
            <w:tcW w:type="dxa" w:w="67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Isologo: dos eslabones enlazados que representan la unión entre energía y control</w:t>
            </w:r>
          </w:p>
        </w:tc>
      </w:tr>
      <w:t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Color institucional</w:t>
            </w:r>
          </w:p>
        </w:tc>
        <w:tc>
          <w:tcPr>
            <w:tcW w:type="dxa" w:w="67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Azul Vortex #0B4A7F + ámbar técnico #E8A33D</w:t>
            </w:r>
          </w:p>
        </w:tc>
      </w:tr>
      <w:t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Mercado objetivo</w:t>
            </w:r>
          </w:p>
        </w:tc>
        <w:tc>
          <w:tcPr>
            <w:tcW w:type="dxa" w:w="67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PyMEs industriales: carpinterías, metalúrgicas, talleres y comercios</w:t>
            </w:r>
          </w:p>
        </w:tc>
      </w:tr>
      <w:t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Equipo fundador</w:t>
            </w:r>
          </w:p>
        </w:tc>
        <w:tc>
          <w:tcPr>
            <w:tcW w:type="dxa" w:w="67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socios técnicos</w:t>
            </w:r>
          </w:p>
        </w:tc>
      </w:tr>
    </w:tbl>
    <w:p>
      <w:pPr>
        <w:pStyle w:val="Heading2"/>
        <w:pageBreakBefore/>
        <w:spacing w:after="200"/>
      </w:pPr>
      <w:r>
        <w:t xml:space="preserve">2. Misión, visión y valores</w:t>
      </w:r>
    </w:p>
    <w:p>
      <w:pPr>
        <w:spacing w:after="120" w:line="300"/>
        <w:jc w:val="both"/>
      </w:pPr>
      <w:r>
        <w:rPr>
          <w:b/>
          <w:bCs/>
        </w:rPr>
        <w:t xml:space="preserve">Misión.</w:t>
      </w:r>
      <w:r>
        <w:t xml:space="preserve"> Diseñar, ejecutar y mantener instalaciones eléctricas y sistemas de automatismo seguros, eficientes y documentados, aplicando con rigor la normativa vigente para proteger a las personas, los equipos y la productividad de nuestros clientes.</w:t>
      </w:r>
    </w:p>
    <w:p>
      <w:pPr>
        <w:spacing w:after="120" w:line="300"/>
        <w:jc w:val="both"/>
      </w:pPr>
      <w:r>
        <w:rPr>
          <w:b/>
          <w:bCs/>
        </w:rPr>
        <w:t xml:space="preserve">Visión.</w:t>
      </w:r>
      <w:r>
        <w:t xml:space="preserve"> Consolidarnos como un equipo técnico de referencia para la pequeña y mediana industria, reconocido por la calidad de sus entregas, y convertir este primer proyecto en la base para encarar juntos nuevos desafíos profesionales.</w:t>
      </w:r>
    </w:p>
    <w:p>
      <w:pPr>
        <w:pStyle w:val="Heading3"/>
        <w:spacing w:after="120" w:before="240"/>
      </w:pPr>
      <w:r>
        <w:t xml:space="preserve">2.1 Valores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Seguridad primero:</w:t>
      </w:r>
      <w:r>
        <w:t xml:space="preserve"> ninguna solución es válida si compromete a las personas.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Rigor técnico:</w:t>
      </w:r>
      <w:r>
        <w:t xml:space="preserve"> cada valor tiene un cálculo y cada cálculo una norma.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Transparencia:</w:t>
      </w:r>
      <w:r>
        <w:t xml:space="preserve"> presupuestos claros y documentación completa.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Trabajo en equipo:</w:t>
      </w:r>
      <w:r>
        <w:t xml:space="preserve"> cada área aporta su especialidad a una entrega única.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Mejora continua:</w:t>
      </w:r>
      <w:r>
        <w:t xml:space="preserve"> aprender de cada obra y actualizar nuestros procesos.</w:t>
      </w:r>
    </w:p>
    <w:p>
      <w:pPr>
        <w:pStyle w:val="Heading2"/>
        <w:pageBreakBefore/>
        <w:spacing w:after="200"/>
      </w:pPr>
      <w:r>
        <w:t xml:space="preserve">3. Estructura organizativa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B"/>
          <w:sz w:val="18"/>
          <w:szCs w:val="18"/>
        </w:rPr>
        <w:t xml:space="preserve">Figura 1 — Organigrama de Vortex.</w:t>
      </w:r>
    </w:p>
    <w:p>
      <w:pPr>
        <w:pStyle w:val="Heading3"/>
        <w:spacing w:after="120" w:before="240"/>
      </w:pPr>
      <w:r>
        <w:t xml:space="preserve">3.1 Roles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B4A7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B4A7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Cargo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B4A7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Responsabilidades principales</w:t>
            </w:r>
          </w:p>
        </w:tc>
      </w:tr>
      <w:t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Kevin Dibella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Responsable de Ingeniería Eléctrica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Cálculo de instalaciones, selección de conductores y protecciones, tableros, esquemas unifilares, automatismo (mando y potencia), firma técnica interna.</w:t>
            </w:r>
          </w:p>
        </w:tc>
      </w:tr>
      <w:t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Octavio Di Carlantonio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Responsable Comercial y Marketing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Relación con clientes, presupuestos, página web, comunicación, presentación de proyectos; co-desarrollo del automatismo.</w:t>
            </w:r>
          </w:p>
        </w:tc>
      </w:tr>
      <w:t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Lucio Di Carlantonio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Responsable de Mantenimiento e Higiene y Seguridad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de mantenimiento, puesta a tierra, protocolos de ensayo, iluminación, cumplimiento de Ley 19.587, EPP y señalización.</w:t>
            </w:r>
          </w:p>
        </w:tc>
      </w:tr>
      <w:t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Agustín Duarte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Responsable de Diseño y Modelado 3D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Modelado SolidWorks, planos mecánicos, renders, identidad visual, diseño gráfico de documentación.</w:t>
            </w:r>
          </w:p>
        </w:tc>
      </w:tr>
    </w:tbl>
    <w:p>
      <w:pPr>
        <w:pStyle w:val="Heading3"/>
        <w:spacing w:after="120" w:before="240"/>
      </w:pPr>
      <w:r>
        <w:t xml:space="preserve">3.2 Matriz RACI del proyecto Carpintería</w:t>
      </w:r>
    </w:p>
    <w:p>
      <w:pPr>
        <w:spacing w:after="120" w:line="300"/>
        <w:jc w:val="both"/>
      </w:pPr>
      <w:r>
        <w:t xml:space="preserve">R = Responsable · A = Aprueba · C = Consultado · I = Informado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B4A7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B4A7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K. Dibella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B4A7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O. Di Carlantonio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B4A7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L. Di Carlantonio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B4A7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A. Duarte</w:t>
            </w:r>
          </w:p>
        </w:tc>
      </w:tr>
      <w:tr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Instalación eléctrica y cálculos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Tableros y unifilares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Automatismo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Iluminación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Canalizaciones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Modelado 3D lijadora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</w:tr>
      <w:tr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Presupuesto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Web y presentación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e higiene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</w:tbl>
    <w:p>
      <w:pPr>
        <w:pStyle w:val="Heading2"/>
        <w:pageBreakBefore/>
        <w:spacing w:after="200"/>
      </w:pPr>
      <w:r>
        <w:t xml:space="preserve">4. 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B4A7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Línea de servicio</w:t>
            </w:r>
          </w:p>
        </w:tc>
        <w:tc>
          <w:tcPr>
            <w:tcW w:type="dxa" w:w="6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B4A7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</w:tr>
      <w:tr>
        <w:tc>
          <w:tcPr>
            <w:tcW w:type="dxa" w:w="2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Instalaciones eléctricas</w:t>
            </w:r>
          </w:p>
        </w:tc>
        <w:tc>
          <w:tcPr>
            <w:tcW w:type="dxa" w:w="6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Proyecto, cálculo y ejecución de instalaciones industriales y comerciales trifásicas y monofásicas según AEA 90364.</w:t>
            </w:r>
          </w:p>
        </w:tc>
      </w:tr>
      <w:tr>
        <w:tc>
          <w:tcPr>
            <w:tcW w:type="dxa" w:w="2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Tableros</w:t>
            </w:r>
          </w:p>
        </w:tc>
        <w:tc>
          <w:tcPr>
            <w:tcW w:type="dxa" w:w="6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Diseño, armado y certificación de tableros principales, seccionales y de comando de máquinas.</w:t>
            </w:r>
          </w:p>
        </w:tc>
      </w:tr>
      <w:tr>
        <w:tc>
          <w:tcPr>
            <w:tcW w:type="dxa" w:w="2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Automatismo</w:t>
            </w:r>
          </w:p>
        </w:tc>
        <w:tc>
          <w:tcPr>
            <w:tcW w:type="dxa" w:w="6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Lógica cableada y programable: arranques directos, estrella-triángulo, inversión de giro, variadores, PLC.</w:t>
            </w:r>
          </w:p>
        </w:tc>
      </w:tr>
      <w:tr>
        <w:tc>
          <w:tcPr>
            <w:tcW w:type="dxa" w:w="2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de máquinas</w:t>
            </w:r>
          </w:p>
        </w:tc>
        <w:tc>
          <w:tcPr>
            <w:tcW w:type="dxa" w:w="6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Paradas de emergencia, resguardos, enclavamientos, análisis de riesgo según IEC 60204-1 / ISO 12100.</w:t>
            </w:r>
          </w:p>
        </w:tc>
      </w:tr>
      <w:tr>
        <w:tc>
          <w:tcPr>
            <w:tcW w:type="dxa" w:w="2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Mantenimiento</w:t>
            </w:r>
          </w:p>
        </w:tc>
        <w:tc>
          <w:tcPr>
            <w:tcW w:type="dxa" w:w="6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Preventivo y correctivo de instalaciones y máquinas; termografía; mediciones de PAT y aislación.</w:t>
            </w:r>
          </w:p>
        </w:tc>
      </w:tr>
      <w:tr>
        <w:tc>
          <w:tcPr>
            <w:tcW w:type="dxa" w:w="2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Diseño y modelado 3D</w:t>
            </w:r>
          </w:p>
        </w:tc>
        <w:tc>
          <w:tcPr>
            <w:tcW w:type="dxa" w:w="6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Modelado de máquinas y repuestos, planos de fabricación, renders.</w:t>
            </w:r>
          </w:p>
        </w:tc>
      </w:tr>
    </w:tbl>
    <w:p>
      <w:pPr>
        <w:pStyle w:val="Heading2"/>
        <w:pageBreakBefore/>
        <w:spacing w:after="200"/>
      </w:pPr>
      <w:r>
        <w:t xml:space="preserve">5. Metodología de trabajo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Relevamiento:</w:t>
      </w:r>
      <w:r>
        <w:t xml:space="preserve"> visita, medición del local, listado de cargas y necesidades del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Ingeniería:</w:t>
      </w:r>
      <w:r>
        <w:t xml:space="preserve"> cálculos, planos, unifilares, automatismo y modelado.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Cotización:</w:t>
      </w:r>
      <w:r>
        <w:t xml:space="preserve"> cómputo métrico y presupuesto detallado por rubro.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Ejecución:</w:t>
      </w:r>
      <w:r>
        <w:t xml:space="preserve"> montaje según planos, con supervisión de HyS.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Ensayos y puesta en marcha:</w:t>
      </w:r>
      <w:r>
        <w:t xml:space="preserve"> PAT, aislación, disparo de diferenciales, pruebas de mando.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Entrega y mantenimiento:</w:t>
      </w:r>
      <w:r>
        <w:t xml:space="preserve"> documentación conforme a obra y plan de mantenimiento.</w:t>
      </w:r>
    </w:p>
    <w:p>
      <w:pPr>
        <w:pStyle w:val="Heading2"/>
        <w:pageBreakBefore/>
        <w:spacing w:after="200"/>
      </w:pPr>
      <w:r>
        <w:t xml:space="preserve">6. Políticas de calidad y seguridad</w:t>
      </w:r>
    </w:p>
    <w:p>
      <w:pPr>
        <w:spacing w:after="120" w:line="300"/>
        <w:jc w:val="both"/>
      </w:pPr>
      <w:r>
        <w:t xml:space="preserve">Vortex se compromete a cumplir la normativa eléctrica (AEA 90364), la Ley de Higiene y Seguridad en el Trabajo 19.587 y su Decreto 351/79, a utilizar materiales certificados (sello de seguridad eléctrica, Res. 169/2018) y a documentar cada intervención. Toda tarea en tableros se realiza con consignación (bloqueo y etiquetado — LOTO), EPP dieléctrico y verificación de ausencia de tensión.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B"/>
        <w:sz w:val="16"/>
        <w:szCs w:val="16"/>
      </w:rPr>
      <w:t xml:space="preserve">Vortex — Ingeniería Eléctrica y Automatismo  |  Página </w:t>
    </w:r>
    <w:r>
      <w:rPr>
        <w:color w:val="5B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33D" w:sz="6" w:space="4"/>
      </w:pBdr>
      <w:jc w:val="right"/>
    </w:pPr>
    <w:r>
      <w:rPr>
        <w:color w:val="5B6B7B"/>
        <w:sz w:val="16"/>
        <w:szCs w:val="16"/>
      </w:rPr>
      <w:t xml:space="preserve">Vortex — Perfil Corporativo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left w:val="single" w:color="E8A33D" w:sz="48" w:space="12"/>
      </w:pBdr>
      <w:outlineLvl w:val="0"/>
    </w:pPr>
    <w:rPr>
      <w:rFonts w:ascii="Calibri" w:cs="Calibri" w:eastAsia="Calibri" w:hAnsi="Calibri"/>
      <w:b/>
      <w:bCs/>
      <w:color w:val="0B4A7F"/>
      <w:sz w:val="52"/>
      <w:szCs w:val="52"/>
    </w:rPr>
  </w:style>
  <w:style w:type="paragraph" w:styleId="Heading2">
    <w:name w:val="Heading 2"/>
    <w:basedOn w:val="Normal"/>
    <w:next w:val="Normal"/>
    <w:qFormat/>
    <w:pPr>
      <w:pBdr>
        <w:bottom w:val="single" w:color="E8A33D" w:sz="12" w:space="4"/>
      </w:pBdr>
      <w:spacing w:after="200"/>
      <w:outlineLvl w:val="1"/>
    </w:pPr>
    <w:rPr>
      <w:rFonts w:ascii="Calibri" w:cs="Calibri" w:eastAsia="Calibri" w:hAnsi="Calibri"/>
      <w:b/>
      <w:bCs/>
      <w:color w:val="0B4A7F"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B4A7F"/>
      <w:sz w:val="27"/>
      <w:szCs w:val="27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Calibri" w:cs="Calibri" w:eastAsia="Calibri" w:hAnsi="Calibri"/>
      <w:b/>
      <w:bCs/>
      <w:color w:val="1F5E9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f9567a2a5bffd85f9aacea97fea5009136ddf1c.png"/><Relationship Id="rId10" Type="http://schemas.openxmlformats.org/officeDocument/2006/relationships/image" Target="media/995db2789bdc9650cc4ae14defc562a314cdcb4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Corporativo Vortex</dc:title>
  <dc:creator>Vortex</dc:creator>
  <cp:lastModifiedBy>Un-named</cp:lastModifiedBy>
  <cp:revision>1</cp:revision>
  <dcterms:created xsi:type="dcterms:W3CDTF">2026-10-14T21:46:29.566Z</dcterms:created>
  <dcterms:modified xsi:type="dcterms:W3CDTF">2026-10-14T21:46:29.566Z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