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42"/>
        </w:rPr>
        <w:t>DATA SCIENCE AUDIT COURSE</w:t>
        <w:br/>
      </w:r>
      <w:r>
        <w:rPr>
          <w:b/>
          <w:color w:val="1F4E79"/>
          <w:sz w:val="28"/>
        </w:rPr>
        <w:t>MACHINE LEARNING PROJECTS WITH MLOps DEPLOYMENT</w:t>
      </w:r>
    </w:p>
    <w:p>
      <w:pPr>
        <w:pStyle w:val="Normal"/>
        <w:jc w:val="center"/>
        <w:rPr/>
      </w:pPr>
      <w:r>
        <w:rPr>
          <w:i/>
        </w:rPr>
        <w:t>Reframed project questions with model development, deployment, reproducibility, and monitoring</w:t>
      </w:r>
    </w:p>
    <w:p>
      <w:pPr>
        <w:pStyle w:val="Heading1"/>
        <w:rPr/>
      </w:pPr>
      <w:r>
        <w:rPr/>
        <w:t>General Requirements for Every Project</w:t>
      </w:r>
    </w:p>
    <w:p>
      <w:pPr>
        <w:pStyle w:val="Normal"/>
        <w:rPr/>
      </w:pPr>
      <w:r>
        <w:rPr/>
        <w:t>For the selected project, develop a complete, reproducible machine-learning application rather than stopping at model training. Use Python and an appropriate ML library. Use Git for source-code version control, a saved/versioned model pipeline, FastAPI or Flask for the prediction API, Streamlit for the user interface, and Docker for containerization. Equivalent tools may be used if approved by the instructor.</w:t>
      </w:r>
    </w:p>
    <w:p>
      <w:pPr>
        <w:pStyle w:val="ListBullet"/>
        <w:numPr>
          <w:ilvl w:val="0"/>
          <w:numId w:val="1"/>
        </w:numPr>
        <w:rPr/>
      </w:pPr>
      <w:r>
        <w:rPr/>
        <w:t>Data and training pipeline: create repeatable data loading, preprocessing, training, and evaluation steps; prevent data leakage.</w:t>
      </w:r>
    </w:p>
    <w:p>
      <w:pPr>
        <w:pStyle w:val="ListBullet"/>
        <w:numPr>
          <w:ilvl w:val="0"/>
          <w:numId w:val="1"/>
        </w:numPr>
        <w:rPr/>
      </w:pPr>
      <w:r>
        <w:rPr/>
        <w:t>Experiment and artifact tracking: record model parameters, evaluation metrics, dataset provenance/version, and the selected model artifact. MLflow may be used.</w:t>
      </w:r>
    </w:p>
    <w:p>
      <w:pPr>
        <w:pStyle w:val="ListBullet"/>
        <w:numPr>
          <w:ilvl w:val="0"/>
          <w:numId w:val="1"/>
        </w:numPr>
        <w:rPr/>
      </w:pPr>
      <w:r>
        <w:rPr/>
        <w:t>Deployment: expose inference through an API and provide a simple Streamlit interface; include input validation and clear error messages.</w:t>
      </w:r>
    </w:p>
    <w:p>
      <w:pPr>
        <w:pStyle w:val="ListBullet"/>
        <w:numPr>
          <w:ilvl w:val="0"/>
          <w:numId w:val="1"/>
        </w:numPr>
        <w:rPr/>
      </w:pPr>
      <w:r>
        <w:rPr/>
        <w:t>Containerization: provide a Dockerfile and instructions to build and run the application consistently.</w:t>
      </w:r>
    </w:p>
    <w:p>
      <w:pPr>
        <w:pStyle w:val="ListBullet"/>
        <w:numPr>
          <w:ilvl w:val="0"/>
          <w:numId w:val="1"/>
        </w:numPr>
        <w:rPr/>
      </w:pPr>
      <w:r>
        <w:rPr/>
        <w:t>Monitoring and maintenance: log operational errors and basic prediction/service statistics; describe how model performance or data drift could be checked and when retraining is needed.</w:t>
      </w:r>
    </w:p>
    <w:p>
      <w:pPr>
        <w:pStyle w:val="ListBullet"/>
        <w:numPr>
          <w:ilvl w:val="0"/>
          <w:numId w:val="1"/>
        </w:numPr>
        <w:rPr/>
      </w:pPr>
      <w:r>
        <w:rPr/>
        <w:t>Documentation: provide a README with setup, training, evaluation, API/UI use, Docker commands, limitations, and screenshots or a short demonstration.</w:t>
      </w:r>
    </w:p>
    <w:p>
      <w:pPr>
        <w:pStyle w:val="Heading1"/>
        <w:rPr/>
      </w:pPr>
      <w:r>
        <w:rPr/>
        <w:t>Suggested Assessment Scheme (20 Marks per Project)</w:t>
      </w:r>
    </w:p>
    <w:tbl>
      <w:tblPr>
        <w:tblStyle w:val="LightShading-Accent1"/>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6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Assessment component</w:t>
            </w:r>
          </w:p>
        </w:tc>
        <w:tc>
          <w:tcPr>
            <w:tcW w:w="5039" w:type="dxa"/>
            <w:tcBorders/>
          </w:tcPr>
          <w:p>
            <w:pPr>
              <w:pStyle w:val="Normal"/>
              <w:widowControl/>
              <w:spacing w:lineRule="auto" w:line="240" w:before="0" w:after="6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Marks</w:t>
            </w:r>
          </w:p>
        </w:tc>
      </w:tr>
      <w:tr>
        <w:trPr/>
        <w:tc>
          <w:tcPr>
            <w:tcW w:w="5040" w:type="dxa"/>
            <w:tcBorders>
              <w:top w:val="nil"/>
              <w:bottom w:val="nil"/>
            </w:tcBorders>
            <w:shd w:color="auto" w:fill="D3DFEE" w:themeFill="accent1" w:themeFillTint="3f" w:val="clear"/>
          </w:tcPr>
          <w:p>
            <w:pPr>
              <w:pStyle w:val="Normal"/>
              <w:widowControl/>
              <w:spacing w:lineRule="auto" w:line="240" w:before="0" w:after="6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Data understanding, preprocessing, and reproducible pipeline</w:t>
            </w:r>
          </w:p>
        </w:tc>
        <w:tc>
          <w:tcPr>
            <w:tcW w:w="5039" w:type="dxa"/>
            <w:tcBorders>
              <w:top w:val="nil"/>
              <w:bottom w:val="nil"/>
            </w:tcBorders>
            <w:shd w:color="auto" w:fill="D3DFEE" w:themeFill="accent1" w:themeFillTint="3f" w:val="clear"/>
          </w:tcPr>
          <w:p>
            <w:pPr>
              <w:pStyle w:val="Normal"/>
              <w:widowControl/>
              <w:spacing w:lineRule="auto" w:line="240" w:before="0" w:after="60"/>
              <w:jc w:val="left"/>
              <w:rPr>
                <w:rFonts w:eastAsia="ＭＳ 明朝" w:cs=""/>
                <w:color w:val="365F91"/>
                <w:kern w:val="0"/>
                <w:szCs w:val="22"/>
                <w:lang w:val="en-US" w:eastAsia="en-US" w:bidi="ar-SA"/>
              </w:rPr>
            </w:pPr>
            <w:r>
              <w:rPr>
                <w:rFonts w:eastAsia="ＭＳ 明朝" w:cs=""/>
                <w:color w:val="365F91"/>
                <w:kern w:val="0"/>
                <w:szCs w:val="22"/>
                <w:lang w:val="en-US" w:eastAsia="en-US" w:bidi="ar-SA"/>
              </w:rPr>
              <w:t>4</w:t>
            </w:r>
          </w:p>
        </w:tc>
      </w:tr>
      <w:tr>
        <w:trPr/>
        <w:tc>
          <w:tcPr>
            <w:tcW w:w="5040" w:type="dxa"/>
            <w:tcBorders>
              <w:top w:val="nil"/>
              <w:bottom w:val="nil"/>
            </w:tcBorders>
          </w:tcPr>
          <w:p>
            <w:pPr>
              <w:pStyle w:val="Normal"/>
              <w:widowControl/>
              <w:spacing w:lineRule="auto" w:line="240" w:before="0" w:after="6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Model development, evaluation, and experiment tracking</w:t>
            </w:r>
          </w:p>
        </w:tc>
        <w:tc>
          <w:tcPr>
            <w:tcW w:w="5039" w:type="dxa"/>
            <w:tcBorders>
              <w:top w:val="nil"/>
              <w:bottom w:val="nil"/>
            </w:tcBorders>
          </w:tcPr>
          <w:p>
            <w:pPr>
              <w:pStyle w:val="Normal"/>
              <w:widowControl/>
              <w:spacing w:lineRule="auto" w:line="240" w:before="0" w:after="60"/>
              <w:jc w:val="left"/>
              <w:rPr>
                <w:rFonts w:eastAsia="ＭＳ 明朝" w:cs=""/>
                <w:color w:val="365F91"/>
                <w:kern w:val="0"/>
                <w:szCs w:val="22"/>
                <w:lang w:val="en-US" w:eastAsia="en-US" w:bidi="ar-SA"/>
              </w:rPr>
            </w:pPr>
            <w:r>
              <w:rPr>
                <w:rFonts w:eastAsia="ＭＳ 明朝" w:cs=""/>
                <w:color w:val="365F91"/>
                <w:kern w:val="0"/>
                <w:szCs w:val="22"/>
                <w:lang w:val="en-US" w:eastAsia="en-US" w:bidi="ar-SA"/>
              </w:rPr>
              <w:t>5</w:t>
            </w:r>
          </w:p>
        </w:tc>
      </w:tr>
      <w:tr>
        <w:trPr/>
        <w:tc>
          <w:tcPr>
            <w:tcW w:w="5040" w:type="dxa"/>
            <w:tcBorders>
              <w:top w:val="nil"/>
              <w:bottom w:val="nil"/>
            </w:tcBorders>
            <w:shd w:color="auto" w:fill="D3DFEE" w:themeFill="accent1" w:themeFillTint="3f" w:val="clear"/>
          </w:tcPr>
          <w:p>
            <w:pPr>
              <w:pStyle w:val="Normal"/>
              <w:widowControl/>
              <w:spacing w:lineRule="auto" w:line="240" w:before="0" w:after="6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Prediction API and Streamlit interface</w:t>
            </w:r>
          </w:p>
        </w:tc>
        <w:tc>
          <w:tcPr>
            <w:tcW w:w="5039" w:type="dxa"/>
            <w:tcBorders>
              <w:top w:val="nil"/>
              <w:bottom w:val="nil"/>
            </w:tcBorders>
            <w:shd w:color="auto" w:fill="D3DFEE" w:themeFill="accent1" w:themeFillTint="3f" w:val="clear"/>
          </w:tcPr>
          <w:p>
            <w:pPr>
              <w:pStyle w:val="Normal"/>
              <w:widowControl/>
              <w:spacing w:lineRule="auto" w:line="240" w:before="0" w:after="60"/>
              <w:jc w:val="left"/>
              <w:rPr>
                <w:rFonts w:eastAsia="ＭＳ 明朝" w:cs=""/>
                <w:color w:val="365F91"/>
                <w:kern w:val="0"/>
                <w:szCs w:val="22"/>
                <w:lang w:val="en-US" w:eastAsia="en-US" w:bidi="ar-SA"/>
              </w:rPr>
            </w:pPr>
            <w:r>
              <w:rPr>
                <w:rFonts w:eastAsia="ＭＳ 明朝" w:cs=""/>
                <w:color w:val="365F91"/>
                <w:kern w:val="0"/>
                <w:szCs w:val="22"/>
                <w:lang w:val="en-US" w:eastAsia="en-US" w:bidi="ar-SA"/>
              </w:rPr>
              <w:t>4</w:t>
            </w:r>
          </w:p>
        </w:tc>
      </w:tr>
      <w:tr>
        <w:trPr/>
        <w:tc>
          <w:tcPr>
            <w:tcW w:w="5040" w:type="dxa"/>
            <w:tcBorders>
              <w:top w:val="nil"/>
              <w:bottom w:val="nil"/>
            </w:tcBorders>
          </w:tcPr>
          <w:p>
            <w:pPr>
              <w:pStyle w:val="Normal"/>
              <w:widowControl/>
              <w:spacing w:lineRule="auto" w:line="240" w:before="0" w:after="6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Docker-based deployment and reproducibility</w:t>
            </w:r>
          </w:p>
        </w:tc>
        <w:tc>
          <w:tcPr>
            <w:tcW w:w="5039" w:type="dxa"/>
            <w:tcBorders>
              <w:top w:val="nil"/>
              <w:bottom w:val="nil"/>
            </w:tcBorders>
          </w:tcPr>
          <w:p>
            <w:pPr>
              <w:pStyle w:val="Normal"/>
              <w:widowControl/>
              <w:spacing w:lineRule="auto" w:line="240" w:before="0" w:after="60"/>
              <w:jc w:val="left"/>
              <w:rPr>
                <w:rFonts w:eastAsia="ＭＳ 明朝" w:cs=""/>
                <w:color w:val="365F91"/>
                <w:kern w:val="0"/>
                <w:szCs w:val="22"/>
                <w:lang w:val="en-US" w:eastAsia="en-US" w:bidi="ar-SA"/>
              </w:rPr>
            </w:pPr>
            <w:r>
              <w:rPr>
                <w:rFonts w:eastAsia="ＭＳ 明朝" w:cs=""/>
                <w:color w:val="365F91"/>
                <w:kern w:val="0"/>
                <w:szCs w:val="22"/>
                <w:lang w:val="en-US" w:eastAsia="en-US" w:bidi="ar-SA"/>
              </w:rPr>
              <w:t>3</w:t>
            </w:r>
          </w:p>
        </w:tc>
      </w:tr>
      <w:tr>
        <w:trPr/>
        <w:tc>
          <w:tcPr>
            <w:tcW w:w="5040" w:type="dxa"/>
            <w:tcBorders>
              <w:top w:val="nil"/>
              <w:bottom w:val="nil"/>
            </w:tcBorders>
            <w:shd w:color="auto" w:fill="D3DFEE" w:themeFill="accent1" w:themeFillTint="3f" w:val="clear"/>
          </w:tcPr>
          <w:p>
            <w:pPr>
              <w:pStyle w:val="Normal"/>
              <w:widowControl/>
              <w:spacing w:lineRule="auto" w:line="240" w:before="0" w:after="6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Logging, monitoring plan, and model maintenance</w:t>
            </w:r>
          </w:p>
        </w:tc>
        <w:tc>
          <w:tcPr>
            <w:tcW w:w="5039" w:type="dxa"/>
            <w:tcBorders>
              <w:top w:val="nil"/>
              <w:bottom w:val="nil"/>
            </w:tcBorders>
            <w:shd w:color="auto" w:fill="D3DFEE" w:themeFill="accent1" w:themeFillTint="3f" w:val="clear"/>
          </w:tcPr>
          <w:p>
            <w:pPr>
              <w:pStyle w:val="Normal"/>
              <w:widowControl/>
              <w:spacing w:lineRule="auto" w:line="240" w:before="0" w:after="60"/>
              <w:jc w:val="left"/>
              <w:rPr>
                <w:rFonts w:eastAsia="ＭＳ 明朝" w:cs=""/>
                <w:color w:val="365F91"/>
                <w:kern w:val="0"/>
                <w:szCs w:val="22"/>
                <w:lang w:val="en-US" w:eastAsia="en-US" w:bidi="ar-SA"/>
              </w:rPr>
            </w:pPr>
            <w:r>
              <w:rPr>
                <w:rFonts w:eastAsia="ＭＳ 明朝" w:cs=""/>
                <w:color w:val="365F91"/>
                <w:kern w:val="0"/>
                <w:szCs w:val="22"/>
                <w:lang w:val="en-US" w:eastAsia="en-US" w:bidi="ar-SA"/>
              </w:rPr>
              <w:t>2</w:t>
            </w:r>
          </w:p>
        </w:tc>
      </w:tr>
      <w:tr>
        <w:trPr/>
        <w:tc>
          <w:tcPr>
            <w:tcW w:w="5040" w:type="dxa"/>
            <w:tcBorders>
              <w:top w:val="nil"/>
            </w:tcBorders>
          </w:tcPr>
          <w:p>
            <w:pPr>
              <w:pStyle w:val="Normal"/>
              <w:widowControl/>
              <w:spacing w:lineRule="auto" w:line="240" w:before="0" w:after="60"/>
              <w:jc w:val="left"/>
              <w:rPr>
                <w:rFonts w:eastAsia="ＭＳ 明朝" w:cs=""/>
                <w:b/>
                <w:b/>
                <w:bCs/>
                <w:color w:val="365F91"/>
                <w:kern w:val="0"/>
                <w:szCs w:val="22"/>
                <w:lang w:val="en-US" w:eastAsia="en-US" w:bidi="ar-SA"/>
              </w:rPr>
            </w:pPr>
            <w:r>
              <w:rPr>
                <w:rFonts w:eastAsia="ＭＳ 明朝" w:cs=""/>
                <w:b/>
                <w:bCs/>
                <w:color w:val="365F91"/>
                <w:kern w:val="0"/>
                <w:szCs w:val="22"/>
                <w:lang w:val="en-US" w:eastAsia="en-US" w:bidi="ar-SA"/>
              </w:rPr>
              <w:t>README, report, and demonstration</w:t>
            </w:r>
          </w:p>
        </w:tc>
        <w:tc>
          <w:tcPr>
            <w:tcW w:w="5039" w:type="dxa"/>
            <w:tcBorders>
              <w:top w:val="nil"/>
            </w:tcBorders>
          </w:tcPr>
          <w:p>
            <w:pPr>
              <w:pStyle w:val="Normal"/>
              <w:widowControl/>
              <w:spacing w:lineRule="auto" w:line="240" w:before="0" w:after="60"/>
              <w:jc w:val="left"/>
              <w:rPr>
                <w:rFonts w:eastAsia="ＭＳ 明朝" w:cs=""/>
                <w:color w:val="365F91"/>
                <w:kern w:val="0"/>
                <w:szCs w:val="22"/>
                <w:lang w:val="en-US" w:eastAsia="en-US" w:bidi="ar-SA"/>
              </w:rPr>
            </w:pPr>
            <w:r>
              <w:rPr>
                <w:rFonts w:eastAsia="ＭＳ 明朝" w:cs=""/>
                <w:color w:val="365F91"/>
                <w:kern w:val="0"/>
                <w:szCs w:val="22"/>
                <w:lang w:val="en-US" w:eastAsia="en-US" w:bidi="ar-SA"/>
              </w:rPr>
              <w:t>2</w:t>
            </w:r>
          </w:p>
        </w:tc>
      </w:tr>
    </w:tbl>
    <w:p>
      <w:pPr>
        <w:pStyle w:val="Normal"/>
        <w:rPr/>
      </w:pPr>
      <w:r>
        <w:rPr/>
        <w:t>Note: The datasets listed below are suggested sources from the original project list. Students must verify dataset access, licensing, data quality, and suitability before use. For medical, employment, biometric, accident, and lending applications, include privacy, fairness, safety, and limitations appropriate to the project.</w:t>
      </w:r>
    </w:p>
    <w:p>
      <w:pPr>
        <w:pStyle w:val="Heading1"/>
        <w:rPr/>
      </w:pPr>
      <w:r>
        <w:rPr/>
        <w:t>15. Bayesian Network for Medical Diagnosis</w:t>
      </w:r>
    </w:p>
    <w:p>
      <w:pPr>
        <w:pStyle w:val="Normal"/>
        <w:rPr/>
      </w:pPr>
      <w:r>
        <w:rPr>
          <w:b/>
        </w:rPr>
        <w:t xml:space="preserve">Suggested dataset: </w:t>
      </w:r>
      <w:r>
        <w:rPr/>
        <w:t>UCI Medical Dataset (for example, Heart Disease Dataset)</w:t>
      </w:r>
    </w:p>
    <w:p>
      <w:pPr>
        <w:pStyle w:val="Normal"/>
        <w:rPr/>
      </w:pPr>
      <w:r>
        <w:rPr>
          <w:b/>
        </w:rPr>
        <w:t xml:space="preserve">Problem statement: </w:t>
      </w:r>
      <w:r>
        <w:rPr/>
        <w:t>Create a deployable probabilistic inference application that estimates a target condition from selected evidence variables in a dataset. It is an educational prototype, not a clinical diagnostic tool.</w:t>
      </w:r>
    </w:p>
    <w:p>
      <w:pPr>
        <w:pStyle w:val="Heading2"/>
        <w:rPr/>
      </w:pPr>
      <w:r>
        <w:rPr/>
        <w:t>Project Tasks</w:t>
      </w:r>
    </w:p>
    <w:p>
      <w:pPr>
        <w:pStyle w:val="ListNumber"/>
        <w:numPr>
          <w:ilvl w:val="0"/>
          <w:numId w:val="4"/>
        </w:numPr>
        <w:rPr/>
      </w:pPr>
      <w:r>
        <w:rPr/>
        <w:t>Select variables supported by the dataset, inspect missing data, define the network structure, and document assumptions about relationships and conditional independence.</w:t>
      </w:r>
    </w:p>
    <w:p>
      <w:pPr>
        <w:pStyle w:val="ListNumber"/>
        <w:numPr>
          <w:ilvl w:val="0"/>
          <w:numId w:val="4"/>
        </w:numPr>
        <w:rPr/>
      </w:pPr>
      <w:r>
        <w:rPr/>
        <w:t>Construct and fit a Bayesian Network where supported by the chosen library, perform inference for selected evidence, and evaluate predictions using appropriate metrics and calibration considerations.</w:t>
      </w:r>
    </w:p>
    <w:p>
      <w:pPr>
        <w:pStyle w:val="ListNumber"/>
        <w:numPr>
          <w:ilvl w:val="0"/>
          <w:numId w:val="4"/>
        </w:numPr>
        <w:rPr/>
      </w:pPr>
      <w:r>
        <w:rPr/>
        <w:t>Version the network structure, learned conditional probability tables, data snapshot, configuration, and evaluation results.</w:t>
      </w:r>
    </w:p>
    <w:p>
      <w:pPr>
        <w:pStyle w:val="ListNumber"/>
        <w:numPr>
          <w:ilvl w:val="0"/>
          <w:numId w:val="4"/>
        </w:numPr>
        <w:rPr/>
      </w:pPr>
      <w:r>
        <w:rPr/>
        <w:t>Expose an inference API and build a Streamlit interface for entering evidence and viewing estimated probabilities with a medical-use disclaimer.</w:t>
      </w:r>
    </w:p>
    <w:p>
      <w:pPr>
        <w:pStyle w:val="ListNumber"/>
        <w:numPr>
          <w:ilvl w:val="0"/>
          <w:numId w:val="4"/>
        </w:numPr>
        <w:rPr/>
      </w:pPr>
      <w:r>
        <w:rPr/>
        <w:t>Deploy using Docker; validate evidence values, log operational errors without unnecessary sensitive data, and document assumptions, limitations, and model-update steps.</w:t>
      </w:r>
    </w:p>
    <w:p>
      <w:pPr>
        <w:pStyle w:val="Normal"/>
        <w:rPr/>
      </w:pPr>
      <w:r>
        <w:rPr>
          <w:b/>
        </w:rPr>
        <w:t xml:space="preserve">Deliverables: </w:t>
      </w:r>
      <w:r>
        <w:rPr/>
        <w:t>Git repository/source code, trained model artifact, reproducible training/evaluation pipeline, API, Streamlit interface, Dockerfile, README, evaluation report, and a brief demonstration.</w:t>
      </w:r>
    </w:p>
    <w:p>
      <w:pPr>
        <w:pStyle w:val="Normal"/>
        <w:rPr/>
      </w:pPr>
      <w:r>
        <w:rPr>
          <w:b/>
        </w:rPr>
        <w:t xml:space="preserve">Assessment: </w:t>
      </w:r>
      <w:r>
        <w:rPr/>
        <w:t>Use the common 20-mark assessment scheme provided at the beginning of this document.</w:t>
      </w:r>
    </w:p>
    <w:p>
      <w:pPr>
        <w:pStyle w:val="Normal"/>
        <w:rPr/>
      </w:pPr>
      <w:r>
        <w:rPr/>
      </w:r>
      <w:r>
        <w:br w:type="page"/>
      </w:r>
    </w:p>
    <w:p>
      <w:pPr>
        <w:pStyle w:val="Heading1"/>
        <w:rPr/>
      </w:pPr>
      <w:r>
        <w:rPr/>
      </w:r>
    </w:p>
    <w:sectPr>
      <w:type w:val="nextPage"/>
      <w:pgSz w:w="12240" w:h="15840"/>
      <w:pgMar w:left="1080" w:right="1080"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60"/>
      <w:jc w:val="left"/>
    </w:pPr>
    <w:rPr>
      <w:rFonts w:ascii="Arial" w:hAnsi="Arial"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RIT Rachana"/>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left="360" w:hanging="360"/>
      <w:contextualSpacing/>
    </w:pPr>
    <w:rPr/>
  </w:style>
  <w:style w:type="paragraph" w:styleId="Caption">
    <w:name w:val="Caption"/>
    <w:basedOn w:val="Normal"/>
    <w:qFormat/>
    <w:pPr>
      <w:suppressLineNumbers/>
      <w:spacing w:before="120" w:after="120"/>
    </w:pPr>
    <w:rPr>
      <w:rFonts w:cs="RIT Rachana"/>
      <w:i/>
      <w:iCs/>
      <w:sz w:val="24"/>
      <w:szCs w:val="24"/>
    </w:rPr>
  </w:style>
  <w:style w:type="paragraph" w:styleId="Index">
    <w:name w:val="Index"/>
    <w:basedOn w:val="Normal"/>
    <w:qFormat/>
    <w:pPr>
      <w:suppressLineNumbers/>
    </w:pPr>
    <w:rPr>
      <w:rFonts w:cs="RIT Rachana"/>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b/>
      <w:color w:val="17365D" w:themeColor="text2" w:themeShade="bf"/>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6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60"/>
      <w:ind w:left="720" w:hanging="360"/>
      <w:contextualSpacing/>
    </w:pPr>
    <w:rPr/>
  </w:style>
  <w:style w:type="paragraph" w:styleId="List3">
    <w:name w:val="List Bullet 4"/>
    <w:basedOn w:val="Normal"/>
    <w:uiPriority w:val="99"/>
    <w:unhideWhenUsed/>
    <w:rsid w:val="00326f90"/>
    <w:pPr>
      <w:spacing w:before="0" w:after="60"/>
      <w:ind w:left="1080" w:hanging="360"/>
      <w:contextualSpacing/>
    </w:pPr>
    <w:rPr/>
  </w:style>
  <w:style w:type="paragraph" w:styleId="ListBullet">
    <w:name w:val="List Bullet"/>
    <w:basedOn w:val="Normal"/>
    <w:uiPriority w:val="99"/>
    <w:unhideWhenUsed/>
    <w:qFormat/>
    <w:rsid w:val="00326f90"/>
    <w:pPr>
      <w:numPr>
        <w:ilvl w:val="0"/>
        <w:numId w:val="1"/>
      </w:numPr>
      <w:spacing w:before="0" w:after="60"/>
      <w:contextualSpacing/>
    </w:pPr>
    <w:rPr/>
  </w:style>
  <w:style w:type="paragraph" w:styleId="ListBullet2">
    <w:name w:val="List Bullet 2"/>
    <w:basedOn w:val="Normal"/>
    <w:uiPriority w:val="99"/>
    <w:unhideWhenUsed/>
    <w:qFormat/>
    <w:rsid w:val="00326f90"/>
    <w:pPr>
      <w:numPr>
        <w:ilvl w:val="0"/>
        <w:numId w:val="2"/>
      </w:numPr>
      <w:spacing w:before="0" w:after="60"/>
      <w:contextualSpacing/>
    </w:pPr>
    <w:rPr/>
  </w:style>
  <w:style w:type="paragraph" w:styleId="ListBullet3">
    <w:name w:val="List Bullet 3"/>
    <w:basedOn w:val="Normal"/>
    <w:uiPriority w:val="99"/>
    <w:unhideWhenUsed/>
    <w:qFormat/>
    <w:rsid w:val="00326f90"/>
    <w:pPr>
      <w:numPr>
        <w:ilvl w:val="0"/>
        <w:numId w:val="3"/>
      </w:numPr>
      <w:spacing w:before="0" w:after="60"/>
      <w:contextualSpacing/>
    </w:pPr>
    <w:rPr/>
  </w:style>
  <w:style w:type="paragraph" w:styleId="ListNumber">
    <w:name w:val="List Number"/>
    <w:basedOn w:val="Normal"/>
    <w:uiPriority w:val="99"/>
    <w:unhideWhenUsed/>
    <w:qFormat/>
    <w:rsid w:val="00326f90"/>
    <w:pPr>
      <w:numPr>
        <w:ilvl w:val="0"/>
        <w:numId w:val="4"/>
      </w:numPr>
      <w:spacing w:before="0" w:after="60"/>
      <w:contextualSpacing/>
    </w:pPr>
    <w:rPr/>
  </w:style>
  <w:style w:type="paragraph" w:styleId="ListNumber2">
    <w:name w:val="List Number 2"/>
    <w:basedOn w:val="Normal"/>
    <w:uiPriority w:val="99"/>
    <w:unhideWhenUsed/>
    <w:qFormat/>
    <w:rsid w:val="0029639d"/>
    <w:pPr>
      <w:numPr>
        <w:ilvl w:val="0"/>
        <w:numId w:val="5"/>
      </w:numPr>
      <w:spacing w:before="0" w:after="60"/>
      <w:contextualSpacing/>
    </w:pPr>
    <w:rPr/>
  </w:style>
  <w:style w:type="paragraph" w:styleId="ListNumber3">
    <w:name w:val="List Number 3"/>
    <w:basedOn w:val="Normal"/>
    <w:uiPriority w:val="99"/>
    <w:unhideWhenUsed/>
    <w:qFormat/>
    <w:rsid w:val="0029639d"/>
    <w:pPr>
      <w:numPr>
        <w:ilvl w:val="0"/>
        <w:numId w:val="6"/>
      </w:numPr>
      <w:spacing w:before="0" w:after="6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3</Pages>
  <Words>481</Words>
  <Characters>3189</Characters>
  <CharactersWithSpaces>3622</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2026-10-29T10:50:03Z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