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4ED" w:rsidRPr="00CE34ED" w:rsidRDefault="00CE34ED" w:rsidP="00CE34ED">
      <w:pPr>
        <w:pStyle w:val="NoSpacing"/>
        <w:rPr>
          <w:kern w:val="36"/>
        </w:rPr>
      </w:pPr>
      <w:r w:rsidRPr="00CE34ED">
        <w:rPr>
          <w:kern w:val="36"/>
        </w:rPr>
        <w:t>Term Project Rubric</w:t>
      </w:r>
    </w:p>
    <w:tbl>
      <w:tblPr>
        <w:tblW w:w="0" w:type="auto"/>
        <w:tblInd w:w="480" w:type="dxa"/>
        <w:tblBorders>
          <w:top w:val="single" w:sz="6" w:space="0" w:color="333333"/>
          <w:left w:val="single" w:sz="6" w:space="0" w:color="333333"/>
          <w:bottom w:val="single" w:sz="6" w:space="0" w:color="333333"/>
          <w:right w:val="single" w:sz="6" w:space="0" w:color="333333"/>
        </w:tblBorders>
        <w:tblCellMar>
          <w:top w:w="15" w:type="dxa"/>
          <w:left w:w="15" w:type="dxa"/>
          <w:bottom w:w="15" w:type="dxa"/>
          <w:right w:w="15" w:type="dxa"/>
        </w:tblCellMar>
        <w:tblLook w:val="04A0"/>
      </w:tblPr>
      <w:tblGrid>
        <w:gridCol w:w="1278"/>
        <w:gridCol w:w="1498"/>
        <w:gridCol w:w="1949"/>
        <w:gridCol w:w="1813"/>
        <w:gridCol w:w="2678"/>
      </w:tblGrid>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vAlign w:val="cente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Objectives</w:t>
            </w:r>
          </w:p>
        </w:tc>
        <w:tc>
          <w:tcPr>
            <w:tcW w:w="0" w:type="auto"/>
            <w:gridSpan w:val="4"/>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vAlign w:val="cente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Quality Criteria that Best Matches the Project</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Design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No effort was put into design aspects of the site. Plain content is presented.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The page design is not entirely appropriate to the content or the intended audience. Very minimal effort put into design.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The page design is visually pleasing, although it may not be entirely appropriate to the content or the intended audience. Adequate effort put into design.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The page design is visually pleasing, supports the page content, and is appropriate for the intended audience. Design is exceptional.</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Layout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Tables were used for page layout.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The page layout is usable, but it has problems with clarity or placement of elements.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The page layout is largely effective, although there may be some occasional problems with clarity or placement of elements.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Pages use an effective and uncluttered layout, using appropriate style attributes to enhance the readability and presentation of the text and other content. The layout is liquid, allowing for content to adjust as the browser window or screen resolution changes</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Text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Site lacks text.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Text on the site has a problem with style, mechanics, or both.</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Text on the site is readable and reasonably well written.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Text on the site is well written and presented effectively, using readable fonts and text design and without major mechanical errors (grammar, punctuation, and spelling).</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Navigation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No navigation elements present.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A visitor can get around the site, but with difficulty. Navigation is not presented as visually appealing.</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The site is well organized and easy to navigate for the most part, with clear relationships between pages.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The site is well organized and easy to navigate; the relationship between pages is clear and it's easy to find an individual page; each page is clearly linked to another; links are appropriate, clearly labeled, and have a definite purpose; page titles are appropriate to content and have a definite purpose. Navigation is visually appealing and user friendly.</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Images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No images were used.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Several images on the site have problems with either design or presentation.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The images are well designed for the most part, although there may be some minor problems with either design or presentation.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The images are well designed and add to the presentation of the content, without distortion, excessive dithering, haloes or other negative graphic effects; images include Alt, Height, and Width attributes (may be in CSS) and offer initial thumbnail graphic if file size is large</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Mechanics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Not everything on the site works correctly, not displaying correctly in all major browsers.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NA</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 points</w:t>
            </w:r>
            <w:r w:rsidRPr="00CE34ED">
              <w:rPr>
                <w:rFonts w:ascii="Verdana" w:hAnsi="Verdana"/>
                <w:sz w:val="14"/>
                <w:szCs w:val="18"/>
              </w:rPr>
              <w:br/>
              <w:t>NA</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4 points</w:t>
            </w:r>
            <w:r w:rsidRPr="00CE34ED">
              <w:rPr>
                <w:rFonts w:ascii="Verdana" w:hAnsi="Verdana"/>
                <w:sz w:val="14"/>
                <w:szCs w:val="18"/>
              </w:rPr>
              <w:br/>
              <w:t>Everything on the site works: there are no missing graphics or broken links; it can be read with Firefox, Internet Explorer, and Safari.</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lastRenderedPageBreak/>
              <w:t>HTML</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NA</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Student shows weak usage and/or understanding of HTML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Student has demonstrated adequate proficiency with HTML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Student has clearly mastered HTML concepts.</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CSS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proofErr w:type="gramStart"/>
            <w:r w:rsidRPr="00CE34ED">
              <w:rPr>
                <w:rFonts w:ascii="Verdana" w:hAnsi="Verdana"/>
                <w:sz w:val="14"/>
              </w:rPr>
              <w:t>No points</w:t>
            </w:r>
            <w:r w:rsidRPr="00CE34ED">
              <w:rPr>
                <w:rFonts w:ascii="Verdana" w:hAnsi="Verdana"/>
                <w:sz w:val="14"/>
                <w:szCs w:val="18"/>
              </w:rPr>
              <w:br/>
              <w:t>CSS was not used.</w:t>
            </w:r>
            <w:proofErr w:type="gramEnd"/>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Student shows weak usage and/or understanding of CSS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Student has demonstrated adequate proficiency with CSS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Student has clearly mastered CSS concepts.</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JavaScript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JavaScript was not used.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Student shows weak usage and/or understanding of JavaScript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Student has demonstrated adequate proficiency with JavaScript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Student has clearly mastered JavaScript concepts.</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proofErr w:type="spellStart"/>
            <w:r w:rsidRPr="00CE34ED">
              <w:rPr>
                <w:rFonts w:ascii="Verdana" w:hAnsi="Verdana"/>
                <w:sz w:val="14"/>
                <w:szCs w:val="18"/>
              </w:rPr>
              <w:t>jQuery</w:t>
            </w:r>
            <w:proofErr w:type="spellEnd"/>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 xml:space="preserve">No </w:t>
            </w:r>
            <w:proofErr w:type="gramStart"/>
            <w:r w:rsidRPr="00CE34ED">
              <w:rPr>
                <w:rFonts w:ascii="Verdana" w:hAnsi="Verdana"/>
                <w:sz w:val="14"/>
              </w:rPr>
              <w:t>points</w:t>
            </w:r>
            <w:proofErr w:type="gramEnd"/>
            <w:r w:rsidRPr="00CE34ED">
              <w:rPr>
                <w:rFonts w:ascii="Verdana" w:hAnsi="Verdana"/>
                <w:sz w:val="14"/>
                <w:szCs w:val="18"/>
              </w:rPr>
              <w:br/>
            </w:r>
            <w:proofErr w:type="spellStart"/>
            <w:r w:rsidRPr="00CE34ED">
              <w:rPr>
                <w:rFonts w:ascii="Verdana" w:hAnsi="Verdana"/>
                <w:sz w:val="14"/>
                <w:szCs w:val="18"/>
              </w:rPr>
              <w:t>jQuery</w:t>
            </w:r>
            <w:proofErr w:type="spellEnd"/>
            <w:r w:rsidRPr="00CE34ED">
              <w:rPr>
                <w:rFonts w:ascii="Verdana" w:hAnsi="Verdana"/>
                <w:sz w:val="14"/>
                <w:szCs w:val="18"/>
              </w:rPr>
              <w:t xml:space="preserve"> was not used.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 xml:space="preserve">Student shows weak usage and/or understanding of </w:t>
            </w:r>
            <w:proofErr w:type="spellStart"/>
            <w:r w:rsidRPr="00CE34ED">
              <w:rPr>
                <w:rFonts w:ascii="Verdana" w:hAnsi="Verdana"/>
                <w:sz w:val="14"/>
                <w:szCs w:val="18"/>
              </w:rPr>
              <w:t>jQuery</w:t>
            </w:r>
            <w:proofErr w:type="spellEnd"/>
            <w:r w:rsidRPr="00CE34ED">
              <w:rPr>
                <w:rFonts w:ascii="Verdana" w:hAnsi="Verdana"/>
                <w:sz w:val="14"/>
                <w:szCs w:val="18"/>
              </w:rPr>
              <w:t xml:space="preserve">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 xml:space="preserve">Student has demonstrated adequate proficiency with </w:t>
            </w:r>
            <w:proofErr w:type="spellStart"/>
            <w:r w:rsidRPr="00CE34ED">
              <w:rPr>
                <w:rFonts w:ascii="Verdana" w:hAnsi="Verdana"/>
                <w:sz w:val="14"/>
                <w:szCs w:val="18"/>
              </w:rPr>
              <w:t>jQuery</w:t>
            </w:r>
            <w:proofErr w:type="spellEnd"/>
            <w:r w:rsidRPr="00CE34ED">
              <w:rPr>
                <w:rFonts w:ascii="Verdana" w:hAnsi="Verdana"/>
                <w:sz w:val="14"/>
                <w:szCs w:val="18"/>
              </w:rPr>
              <w:t xml:space="preserve">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 xml:space="preserve">Student has clearly mastered </w:t>
            </w:r>
            <w:proofErr w:type="spellStart"/>
            <w:r w:rsidRPr="00CE34ED">
              <w:rPr>
                <w:rFonts w:ascii="Verdana" w:hAnsi="Verdana"/>
                <w:sz w:val="14"/>
                <w:szCs w:val="18"/>
              </w:rPr>
              <w:t>jQuery</w:t>
            </w:r>
            <w:proofErr w:type="spellEnd"/>
            <w:r w:rsidRPr="00CE34ED">
              <w:rPr>
                <w:rFonts w:ascii="Verdana" w:hAnsi="Verdana"/>
                <w:sz w:val="14"/>
                <w:szCs w:val="18"/>
              </w:rPr>
              <w:t xml:space="preserve"> concepts.</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DOM</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No points</w:t>
            </w:r>
            <w:r w:rsidRPr="00CE34ED">
              <w:rPr>
                <w:rFonts w:ascii="Verdana" w:hAnsi="Verdana"/>
                <w:sz w:val="14"/>
                <w:szCs w:val="18"/>
              </w:rPr>
              <w:br/>
              <w:t>DOM was not used.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w:t>
            </w:r>
            <w:r w:rsidRPr="00CE34ED">
              <w:rPr>
                <w:rFonts w:ascii="Verdana" w:hAnsi="Verdana"/>
                <w:sz w:val="14"/>
                <w:szCs w:val="18"/>
              </w:rPr>
              <w:br/>
              <w:t>Student shows weak usage and/or understanding of DOM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Student has demonstrated adequate proficiency with DOM concepts.</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Student clearly understands and maximizes the use of DOM.</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Validation/</w:t>
            </w:r>
            <w:r w:rsidRPr="00CE34ED">
              <w:rPr>
                <w:rFonts w:ascii="Verdana" w:hAnsi="Verdana"/>
                <w:sz w:val="14"/>
                <w:szCs w:val="18"/>
              </w:rPr>
              <w:br/>
              <w:t>Accessibility</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 xml:space="preserve">No </w:t>
            </w:r>
            <w:proofErr w:type="gramStart"/>
            <w:r w:rsidRPr="00CE34ED">
              <w:rPr>
                <w:rFonts w:ascii="Verdana" w:hAnsi="Verdana"/>
                <w:sz w:val="14"/>
              </w:rPr>
              <w:t>points</w:t>
            </w:r>
            <w:r w:rsidRPr="00CE34ED">
              <w:rPr>
                <w:rFonts w:ascii="Verdana" w:hAnsi="Verdana"/>
                <w:sz w:val="14"/>
                <w:szCs w:val="18"/>
              </w:rPr>
              <w:br/>
              <w:t>Design incorporated no</w:t>
            </w:r>
            <w:proofErr w:type="gramEnd"/>
            <w:r w:rsidRPr="00CE34ED">
              <w:rPr>
                <w:rFonts w:ascii="Verdana" w:hAnsi="Verdana"/>
                <w:sz w:val="14"/>
                <w:szCs w:val="18"/>
              </w:rPr>
              <w:t xml:space="preserve"> aspects concerned with accessibility.</w:t>
            </w:r>
            <w:r w:rsidRPr="00CE34ED">
              <w:rPr>
                <w:rFonts w:ascii="Verdana" w:hAnsi="Verdana"/>
                <w:sz w:val="14"/>
                <w:szCs w:val="18"/>
              </w:rPr>
              <w:br/>
              <w:t>Code did not validate.</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 points</w:t>
            </w:r>
            <w:r w:rsidRPr="00CE34ED">
              <w:rPr>
                <w:rFonts w:ascii="Verdana" w:hAnsi="Verdana"/>
                <w:sz w:val="14"/>
                <w:szCs w:val="18"/>
              </w:rPr>
              <w:br/>
              <w:t>Some accessibility concerns were addressed, but there are some minor issues with code validation.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Overall, accessibility concerns were addressed and all code passes validation.</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6 points</w:t>
            </w:r>
            <w:r w:rsidRPr="00CE34ED">
              <w:rPr>
                <w:rFonts w:ascii="Verdana" w:hAnsi="Verdana"/>
                <w:sz w:val="14"/>
                <w:szCs w:val="18"/>
              </w:rPr>
              <w:br/>
              <w:t>Design was distinctly mindful of accessibility concerns. Nearly all content is usable even if images, CSS, and JavaScript are disabled. All code passes validation.</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Overall Quality</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10 points</w:t>
            </w:r>
            <w:r w:rsidRPr="00CE34ED">
              <w:rPr>
                <w:rFonts w:ascii="Verdana" w:hAnsi="Verdana"/>
                <w:sz w:val="14"/>
                <w:szCs w:val="18"/>
              </w:rPr>
              <w:br/>
              <w:t>Poor</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17 points</w:t>
            </w:r>
            <w:r w:rsidRPr="00CE34ED">
              <w:rPr>
                <w:rFonts w:ascii="Verdana" w:hAnsi="Verdana"/>
                <w:sz w:val="14"/>
                <w:szCs w:val="18"/>
              </w:rPr>
              <w:br/>
              <w:t>Fair</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25 points</w:t>
            </w:r>
            <w:r w:rsidRPr="00CE34ED">
              <w:rPr>
                <w:rFonts w:ascii="Verdana" w:hAnsi="Verdana"/>
                <w:sz w:val="14"/>
                <w:szCs w:val="18"/>
              </w:rPr>
              <w:br/>
              <w:t>Good</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30 Points</w:t>
            </w:r>
            <w:r w:rsidRPr="00CE34ED">
              <w:rPr>
                <w:rFonts w:ascii="Verdana" w:hAnsi="Verdana"/>
                <w:sz w:val="14"/>
                <w:szCs w:val="18"/>
              </w:rPr>
              <w:br/>
              <w:t>Excellent</w:t>
            </w:r>
          </w:p>
        </w:tc>
      </w:tr>
      <w:tr w:rsidR="00CE34ED" w:rsidRPr="00CE34ED" w:rsidTr="00CE34ED">
        <w:tc>
          <w:tcPr>
            <w:tcW w:w="0" w:type="auto"/>
            <w:tcBorders>
              <w:top w:val="single" w:sz="6" w:space="0" w:color="333333"/>
              <w:left w:val="single" w:sz="6" w:space="0" w:color="333333"/>
              <w:bottom w:val="single" w:sz="6" w:space="0" w:color="333333"/>
              <w:right w:val="single" w:sz="6" w:space="0" w:color="333333"/>
            </w:tcBorders>
            <w:shd w:val="clear" w:color="auto" w:fill="EDEDF3"/>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szCs w:val="18"/>
              </w:rPr>
              <w:t>Server Side Functionality</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proofErr w:type="gramStart"/>
            <w:r w:rsidRPr="00CE34ED">
              <w:rPr>
                <w:rFonts w:ascii="Verdana" w:hAnsi="Verdana"/>
                <w:sz w:val="14"/>
              </w:rPr>
              <w:t>No points</w:t>
            </w:r>
            <w:r w:rsidRPr="00CE34ED">
              <w:rPr>
                <w:rFonts w:ascii="Verdana" w:hAnsi="Verdana"/>
                <w:sz w:val="14"/>
                <w:szCs w:val="18"/>
              </w:rPr>
              <w:br/>
              <w:t>Student did not attempt to add any extra features.</w:t>
            </w:r>
            <w:proofErr w:type="gramEnd"/>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3 points</w:t>
            </w:r>
            <w:r w:rsidRPr="00CE34ED">
              <w:rPr>
                <w:rFonts w:ascii="Verdana" w:hAnsi="Verdana"/>
                <w:sz w:val="14"/>
                <w:szCs w:val="18"/>
              </w:rPr>
              <w:br/>
              <w:t>Student made a good attempt at providing extra features. Value was provided, but the value is not significant and/or does not provide any useful features in the context of the project.</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5 points</w:t>
            </w:r>
            <w:r w:rsidRPr="00CE34ED">
              <w:rPr>
                <w:rFonts w:ascii="Verdana" w:hAnsi="Verdana"/>
                <w:sz w:val="14"/>
                <w:szCs w:val="18"/>
              </w:rPr>
              <w:br/>
              <w:t>Student added extra features that provided significant extra value.</w:t>
            </w:r>
          </w:p>
        </w:tc>
        <w:tc>
          <w:tcPr>
            <w:tcW w:w="0" w:type="auto"/>
            <w:tcBorders>
              <w:top w:val="single" w:sz="6" w:space="0" w:color="333333"/>
              <w:left w:val="single" w:sz="6" w:space="0" w:color="333333"/>
              <w:bottom w:val="single" w:sz="6" w:space="0" w:color="333333"/>
              <w:right w:val="single" w:sz="6" w:space="0" w:color="333333"/>
            </w:tcBorders>
            <w:tcMar>
              <w:top w:w="168" w:type="dxa"/>
              <w:left w:w="168" w:type="dxa"/>
              <w:bottom w:w="168" w:type="dxa"/>
              <w:right w:w="168" w:type="dxa"/>
            </w:tcMar>
            <w:hideMark/>
          </w:tcPr>
          <w:p w:rsidR="00CE34ED" w:rsidRPr="00CE34ED" w:rsidRDefault="00CE34ED" w:rsidP="00CE34ED">
            <w:pPr>
              <w:pStyle w:val="NoSpacing"/>
              <w:rPr>
                <w:rFonts w:ascii="Verdana" w:hAnsi="Verdana"/>
                <w:sz w:val="14"/>
                <w:szCs w:val="18"/>
              </w:rPr>
            </w:pPr>
            <w:r w:rsidRPr="00CE34ED">
              <w:rPr>
                <w:rFonts w:ascii="Verdana" w:hAnsi="Verdana"/>
                <w:sz w:val="14"/>
              </w:rPr>
              <w:t>10 points</w:t>
            </w:r>
            <w:r w:rsidRPr="00CE34ED">
              <w:rPr>
                <w:rFonts w:ascii="Verdana" w:hAnsi="Verdana"/>
                <w:sz w:val="14"/>
                <w:szCs w:val="18"/>
              </w:rPr>
              <w:br/>
              <w:t>Student has fully implemented the use of a server side language and interaction with a database. The usage is appropriate for the project and there are no major problems with the implementation.</w:t>
            </w:r>
          </w:p>
        </w:tc>
      </w:tr>
    </w:tbl>
    <w:p w:rsidR="006F5CCE" w:rsidRPr="00CE34ED" w:rsidRDefault="00CE34ED" w:rsidP="00CE34ED">
      <w:pPr>
        <w:pStyle w:val="NoSpacing"/>
        <w:rPr>
          <w:sz w:val="18"/>
        </w:rPr>
      </w:pPr>
    </w:p>
    <w:sectPr w:rsidR="006F5CCE" w:rsidRPr="00CE34ED" w:rsidSect="00892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4ED"/>
    <w:rsid w:val="008924C1"/>
    <w:rsid w:val="00A23351"/>
    <w:rsid w:val="00BD16AB"/>
    <w:rsid w:val="00CE3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4C1"/>
  </w:style>
  <w:style w:type="paragraph" w:styleId="Heading1">
    <w:name w:val="heading 1"/>
    <w:basedOn w:val="Normal"/>
    <w:link w:val="Heading1Char"/>
    <w:uiPriority w:val="9"/>
    <w:qFormat/>
    <w:rsid w:val="00CE3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E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34ED"/>
    <w:rPr>
      <w:b/>
      <w:bCs/>
    </w:rPr>
  </w:style>
  <w:style w:type="paragraph" w:styleId="NoSpacing">
    <w:name w:val="No Spacing"/>
    <w:uiPriority w:val="1"/>
    <w:qFormat/>
    <w:rsid w:val="00CE34ED"/>
    <w:pPr>
      <w:spacing w:after="0" w:line="240" w:lineRule="auto"/>
    </w:pPr>
  </w:style>
</w:styles>
</file>

<file path=word/webSettings.xml><?xml version="1.0" encoding="utf-8"?>
<w:webSettings xmlns:r="http://schemas.openxmlformats.org/officeDocument/2006/relationships" xmlns:w="http://schemas.openxmlformats.org/wordprocessingml/2006/main">
  <w:divs>
    <w:div w:id="6937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Dickson</dc:creator>
  <cp:lastModifiedBy>Dickson</cp:lastModifiedBy>
  <cp:revision>1</cp:revision>
  <dcterms:created xsi:type="dcterms:W3CDTF">2015-07-14T23:47:00Z</dcterms:created>
  <dcterms:modified xsi:type="dcterms:W3CDTF">2015-07-14T23:47:00Z</dcterms:modified>
</cp:coreProperties>
</file>