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212FF8" w:rsidRPr="00EC5935" w:rsidRDefault="0093754B" w:rsidP="00212FF8">
      <w:pPr>
        <w:spacing w:line="480" w:lineRule="auto"/>
        <w:ind w:firstLine="720"/>
        <w:jc w:val="both"/>
        <w:rPr>
          <w:sz w:val="24"/>
          <w:szCs w:val="24"/>
        </w:rPr>
      </w:pPr>
      <w:r w:rsidRPr="00231A9E">
        <w:rPr>
          <w:i/>
          <w:noProof/>
          <w:sz w:val="24"/>
          <w:szCs w:val="24"/>
          <w:lang w:eastAsia="id-ID"/>
        </w:rPr>
        <w:lastRenderedPageBreak/>
        <mc:AlternateContent>
          <mc:Choice Requires="wps">
            <w:drawing>
              <wp:anchor distT="0" distB="0" distL="114300" distR="114300" simplePos="0" relativeHeight="251659264" behindDoc="0" locked="0" layoutInCell="1" allowOverlap="1" wp14:anchorId="04774058" wp14:editId="6DEC25D7">
                <wp:simplePos x="0" y="0"/>
                <wp:positionH relativeFrom="column">
                  <wp:posOffset>941070</wp:posOffset>
                </wp:positionH>
                <wp:positionV relativeFrom="paragraph">
                  <wp:posOffset>2910840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9.2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" fillcolor="white [3201]" strokecolor="black [3200]" strokeweight="1pt"/>
            </w:pict>
          </mc:Fallback>
        </mc:AlternateContent>
      </w:r>
      <w:r w:rsidR="00614DBE" w:rsidRPr="00050CF7">
        <w:rPr>
          <w:rFonts w:ascii="Times New Roman" w:hAnsi="Times New Roman" w:cs="Times New Roman"/>
          <w:sz w:val="24"/>
          <w:szCs w:val="24"/>
        </w:rPr>
        <w:t xml:space="preserve">Menurut </w:t>
      </w:r>
      <w:r w:rsidR="00614DBE" w:rsidRPr="00050CF7">
        <w:rPr>
          <w:rFonts w:ascii="Times New Roman" w:hAnsi="Times New Roman" w:cs="Times New Roman"/>
          <w:sz w:val="24"/>
          <w:szCs w:val="24"/>
        </w:rPr>
        <w:fldChar w:fldCharType="begin" w:fldLock="1"/>
      </w:r>
      <w:r w:rsidR="00614DBE" w:rsidRPr="00050CF7">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050CF7">
        <w:rPr>
          <w:rFonts w:ascii="Times New Roman" w:hAnsi="Times New Roman" w:cs="Times New Roman"/>
          <w:sz w:val="24"/>
          <w:szCs w:val="24"/>
        </w:rPr>
        <w:fldChar w:fldCharType="separate"/>
      </w:r>
      <w:r w:rsidR="00614DBE" w:rsidRPr="00050CF7">
        <w:rPr>
          <w:rFonts w:ascii="Times New Roman" w:hAnsi="Times New Roman" w:cs="Times New Roman"/>
          <w:noProof/>
          <w:sz w:val="24"/>
          <w:szCs w:val="24"/>
        </w:rPr>
        <w:t>(Pinasti &amp; Mustikawati, 2018)</w:t>
      </w:r>
      <w:r w:rsidR="00614DBE" w:rsidRPr="00050CF7">
        <w:rPr>
          <w:rFonts w:ascii="Times New Roman" w:hAnsi="Times New Roman" w:cs="Times New Roman"/>
          <w:sz w:val="24"/>
          <w:szCs w:val="24"/>
        </w:rPr>
        <w:fldChar w:fldCharType="end"/>
      </w:r>
      <w:r w:rsidR="00614DBE" w:rsidRPr="00050CF7">
        <w:rPr>
          <w:rFonts w:ascii="Times New Roman" w:hAnsi="Times New Roman" w:cs="Times New Roman"/>
          <w:sz w:val="24"/>
          <w:szCs w:val="24"/>
        </w:rPr>
        <w:t xml:space="preserve"> menyatakan bahwa </w:t>
      </w:r>
      <w:r w:rsidR="00614DBE" w:rsidRPr="00050CF7">
        <w:rPr>
          <w:rFonts w:ascii="Times New Roman" w:hAnsi="Times New Roman" w:cs="Times New Roman"/>
          <w:i/>
          <w:sz w:val="24"/>
          <w:szCs w:val="24"/>
        </w:rPr>
        <w:t>Loan to Deposit Ratio</w:t>
      </w:r>
      <w:r w:rsidR="00614DBE" w:rsidRPr="00050CF7">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050CF7">
        <w:rPr>
          <w:rFonts w:ascii="Times New Roman" w:hAnsi="Times New Roman" w:cs="Times New Roman"/>
          <w:sz w:val="24"/>
          <w:szCs w:val="24"/>
        </w:rPr>
        <w:t xml:space="preserve">ermintaan kredit yang diajukan, </w:t>
      </w:r>
      <w:r w:rsidR="00050CF7" w:rsidRPr="00050CF7">
        <w:rPr>
          <w:rFonts w:ascii="Times New Roman" w:hAnsi="Times New Roman" w:cs="Times New Roman"/>
          <w:i/>
          <w:sz w:val="24"/>
          <w:szCs w:val="24"/>
        </w:rPr>
        <w:t>Loan to Deposit Ratio</w:t>
      </w:r>
      <w:r w:rsidR="00050CF7" w:rsidRPr="00050CF7">
        <w:rPr>
          <w:rFonts w:ascii="Times New Roman" w:hAnsi="Times New Roman" w:cs="Times New Roman"/>
          <w:sz w:val="24"/>
          <w:szCs w:val="24"/>
        </w:rPr>
        <w:t xml:space="preserve"> (LDR)</w:t>
      </w:r>
      <w:r w:rsidR="00614DBE" w:rsidRPr="00050CF7">
        <w:rPr>
          <w:rFonts w:ascii="Times New Roman" w:hAnsi="Times New Roman" w:cs="Times New Roman"/>
          <w:sz w:val="24"/>
          <w:szCs w:val="24"/>
        </w:rPr>
        <w:t xml:space="preserve"> adalah rasio antara seluruh jumlah kredit yang diberikan terhadap dana pihak ketiga.</w:t>
      </w:r>
      <w:r w:rsidR="00212FF8">
        <w:rPr>
          <w:rFonts w:ascii="Times New Roman" w:hAnsi="Times New Roman" w:cs="Times New Roman"/>
          <w:sz w:val="24"/>
          <w:szCs w:val="24"/>
        </w:rPr>
        <w:t xml:space="preserve"> </w:t>
      </w:r>
      <w:r w:rsidR="00212FF8" w:rsidRPr="00212FF8">
        <w:rPr>
          <w:rFonts w:ascii="Times New Roman" w:hAnsi="Times New Roman" w:cs="Times New Roman"/>
          <w:i/>
          <w:sz w:val="24"/>
          <w:szCs w:val="24"/>
        </w:rPr>
        <w:t xml:space="preserve">Loan to Deposit Ratio </w:t>
      </w:r>
      <w:r w:rsidR="00212FF8" w:rsidRPr="00212FF8">
        <w:rPr>
          <w:rFonts w:ascii="Times New Roman" w:hAnsi="Times New Roman" w:cs="Times New Roman"/>
          <w:sz w:val="24"/>
          <w:szCs w:val="24"/>
        </w:rPr>
        <w:t xml:space="preserve">(LDR) menunjukan kemampuan bank memberikan kredit kepada nasabah. Adapun rumus untuk menghitung </w:t>
      </w:r>
      <w:r w:rsidR="00212FF8" w:rsidRPr="00212FF8">
        <w:rPr>
          <w:rFonts w:ascii="Times New Roman" w:hAnsi="Times New Roman" w:cs="Times New Roman"/>
          <w:i/>
          <w:sz w:val="24"/>
          <w:szCs w:val="24"/>
        </w:rPr>
        <w:t xml:space="preserve">Loan to Deposit Ratio </w:t>
      </w:r>
      <w:r w:rsidR="00212FF8" w:rsidRPr="00212FF8">
        <w:rPr>
          <w:rFonts w:ascii="Times New Roman" w:hAnsi="Times New Roman" w:cs="Times New Roman"/>
          <w:sz w:val="24"/>
          <w:szCs w:val="24"/>
        </w:rPr>
        <w:t>(LDR) adalah sebagai berikut :</w:t>
      </w:r>
    </w:p>
    <w:p w:rsidR="00212FF8" w:rsidRPr="00231A9E" w:rsidRDefault="00212FF8" w:rsidP="007132C1">
      <w:pPr>
        <w:spacing w:line="480" w:lineRule="auto"/>
        <w:jc w:val="both"/>
        <w:rPr>
          <w:sz w:val="24"/>
          <w:szCs w:val="24"/>
        </w:rPr>
      </w:pPr>
      <w:r w:rsidRPr="00231A9E">
        <w:rPr>
          <w:i/>
          <w:noProof/>
          <w:sz w:val="24"/>
          <w:szCs w:val="24"/>
          <w:lang w:eastAsia="id-ID"/>
        </w:rPr>
        <mc:AlternateContent>
          <mc:Choice Requires="wps">
            <w:drawing>
              <wp:anchor distT="0" distB="0" distL="114300" distR="114300" simplePos="0" relativeHeight="251664384" behindDoc="0" locked="0" layoutInCell="1" allowOverlap="1" wp14:anchorId="016E667E" wp14:editId="035EA1E8">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A619A9" w:rsidRPr="007132C1" w:rsidRDefault="00A619A9"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231A9E">
        <w:rPr>
          <w:i/>
          <w:noProof/>
          <w:sz w:val="24"/>
          <w:szCs w:val="24"/>
          <w:lang w:eastAsia="id-ID"/>
        </w:rPr>
        <mc:AlternateContent>
          <mc:Choice Requires="wps">
            <w:drawing>
              <wp:anchor distT="0" distB="0" distL="114300" distR="114300" simplePos="0" relativeHeight="251662336" behindDoc="0" locked="0" layoutInCell="1" allowOverlap="1" wp14:anchorId="6075E240" wp14:editId="25759398">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A619A9" w:rsidRPr="007132C1" w:rsidRDefault="00A619A9"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Pr="00231A9E">
        <w:rPr>
          <w:i/>
          <w:noProof/>
          <w:sz w:val="24"/>
          <w:szCs w:val="24"/>
          <w:lang w:eastAsia="id-ID"/>
        </w:rPr>
        <mc:AlternateContent>
          <mc:Choice Requires="wps">
            <w:drawing>
              <wp:anchor distT="0" distB="0" distL="114300" distR="114300" simplePos="0" relativeHeight="251660288" behindDoc="0" locked="0" layoutInCell="1" allowOverlap="1" wp14:anchorId="2AAC0463" wp14:editId="24311F76">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A619A9" w:rsidRPr="007132C1" w:rsidRDefault="00A619A9"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61312" behindDoc="0" locked="0" layoutInCell="1" allowOverlap="1" wp14:anchorId="0B90AF03" wp14:editId="4896C1F5">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231A9E">
        <w:rPr>
          <w:noProof/>
          <w:sz w:val="24"/>
          <w:szCs w:val="24"/>
          <w:lang w:eastAsia="id-ID"/>
        </w:rPr>
        <mc:AlternateContent>
          <mc:Choice Requires="wps">
            <w:drawing>
              <wp:anchor distT="0" distB="0" distL="114300" distR="114300" simplePos="0" relativeHeight="251663360" behindDoc="0" locked="0" layoutInCell="1" allowOverlap="1" wp14:anchorId="5A9BB2DD" wp14:editId="2229A07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A619A9" w:rsidRPr="007132C1" w:rsidRDefault="00A619A9"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 xml:space="preserve">Total </w:t>
                      </w:r>
                      <w:r w:rsidRPr="007132C1">
                        <w:rPr>
                          <w:rFonts w:ascii="Times New Roman" w:hAnsi="Times New Roman" w:cs="Times New Roman"/>
                          <w:sz w:val="24"/>
                        </w:rPr>
                        <w:t>Dana Pihak Ketiga</w:t>
                      </w:r>
                    </w:p>
                  </w:txbxContent>
                </v:textbox>
              </v:shape>
            </w:pict>
          </mc:Fallback>
        </mc:AlternateContent>
      </w:r>
    </w:p>
    <w:p w:rsidR="00614DBE" w:rsidRPr="00050CF7" w:rsidRDefault="00212FF8" w:rsidP="007132C1">
      <w:pPr>
        <w:spacing w:line="480" w:lineRule="auto"/>
        <w:ind w:left="720" w:firstLine="720"/>
        <w:jc w:val="both"/>
        <w:rPr>
          <w:rFonts w:ascii="Times New Roman" w:hAnsi="Times New Roman" w:cs="Times New Roman"/>
          <w:sz w:val="24"/>
          <w:szCs w:val="24"/>
        </w:rPr>
      </w:pPr>
      <w:r w:rsidRPr="00231A9E">
        <w:rPr>
          <w:sz w:val="24"/>
          <w:szCs w:val="24"/>
        </w:rPr>
        <w:t xml:space="preserve"> </w:t>
      </w:r>
      <w:r w:rsidRPr="007132C1">
        <w:rPr>
          <w:rFonts w:ascii="Times New Roman" w:hAnsi="Times New Roman" w:cs="Times New Roman"/>
          <w:sz w:val="24"/>
          <w:szCs w:val="24"/>
        </w:rPr>
        <w:t>Sumber : Kasmir (2018:225</w:t>
      </w:r>
      <w:r w:rsidR="007132C1">
        <w:rPr>
          <w:rFonts w:ascii="Times New Roman" w:hAnsi="Times New Roman" w:cs="Times New Roman"/>
          <w:sz w:val="24"/>
          <w:szCs w:val="24"/>
        </w:rPr>
        <w:t>)</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0F7071">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E768C9">
      <w:pPr>
        <w:spacing w:line="480" w:lineRule="auto"/>
        <w:jc w:val="center"/>
        <w:rPr>
          <w:rFonts w:ascii="Times New Roman" w:hAnsi="Times New Roman" w:cs="Times New Roman"/>
          <w:sz w:val="24"/>
        </w:rPr>
      </w:pPr>
      <w:r w:rsidRPr="00DC08FE">
        <w:rPr>
          <w:rFonts w:ascii="Times New Roman" w:hAnsi="Times New Roman" w:cs="Times New Roman"/>
          <w:sz w:val="24"/>
        </w:rPr>
        <w:t>Sumber : Data diolah, 2023</w:t>
      </w:r>
    </w:p>
    <w:p w:rsidR="007F30CA" w:rsidRPr="001B443D" w:rsidRDefault="0014358B" w:rsidP="000F7071">
      <w:pPr>
        <w:spacing w:line="480" w:lineRule="auto"/>
        <w:ind w:firstLine="426"/>
        <w:jc w:val="both"/>
        <w:rPr>
          <w:rFonts w:ascii="Times New Roman" w:hAnsi="Times New Roman" w:cs="Times New Roman"/>
          <w:sz w:val="24"/>
          <w:szCs w:val="24"/>
        </w:rPr>
      </w:pPr>
      <w:r w:rsidRPr="00231A9E">
        <w:rPr>
          <w:i/>
          <w:noProof/>
          <w:sz w:val="24"/>
          <w:szCs w:val="24"/>
          <w:lang w:eastAsia="id-ID"/>
        </w:rPr>
        <mc:AlternateContent>
          <mc:Choice Requires="wps">
            <w:drawing>
              <wp:anchor distT="0" distB="0" distL="114300" distR="114300" simplePos="0" relativeHeight="251666432" behindDoc="0" locked="0" layoutInCell="1" allowOverlap="1" wp14:anchorId="3C1C8304" wp14:editId="2CDB1276">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231A9E">
        <w:rPr>
          <w:b/>
          <w:noProof/>
          <w:sz w:val="24"/>
          <w:szCs w:val="24"/>
          <w:lang w:eastAsia="id-ID"/>
        </w:rPr>
        <mc:AlternateContent>
          <mc:Choice Requires="wps">
            <w:drawing>
              <wp:anchor distT="0" distB="0" distL="114300" distR="114300" simplePos="0" relativeHeight="251668480" behindDoc="0" locked="0" layoutInCell="1" allowOverlap="1" wp14:anchorId="7765BED2" wp14:editId="15568636">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9A9" w:rsidRPr="001B443D" w:rsidRDefault="00A619A9"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w:t>
                      </w:r>
                      <w:r w:rsidRPr="001B443D">
                        <w:rPr>
                          <w:rFonts w:ascii="Times New Roman" w:hAnsi="Times New Roman" w:cs="Times New Roman"/>
                          <w:sz w:val="24"/>
                        </w:rPr>
                        <w:t xml:space="preserve">Bunga Bersih </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67456" behindDoc="0" locked="0" layoutInCell="1" allowOverlap="1" wp14:anchorId="33678C20" wp14:editId="26777E8B">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A619A9" w:rsidRPr="001B443D" w:rsidRDefault="00A619A9"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A619A9" w:rsidRPr="001B443D" w:rsidRDefault="00A619A9"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 xml:space="preserve">NIM </w:t>
                      </w:r>
                      <w:r w:rsidRPr="001B443D">
                        <w:rPr>
                          <w:rFonts w:ascii="Times New Roman" w:hAnsi="Times New Roman" w:cs="Times New Roman"/>
                          <w:sz w:val="24"/>
                          <w:szCs w:val="24"/>
                        </w:rPr>
                        <w:t>=</w:t>
                      </w:r>
                    </w:p>
                    <w:p w:rsidR="007F30CA" w:rsidRPr="001B443D" w:rsidRDefault="007F30CA" w:rsidP="007F30CA">
                      <w:pPr>
                        <w:rPr>
                          <w:rFonts w:ascii="Times New Roman" w:hAnsi="Times New Roman" w:cs="Times New Roman"/>
                          <w:sz w:val="24"/>
                          <w:szCs w:val="24"/>
                        </w:rPr>
                      </w:pPr>
                    </w:p>
                  </w:txbxContent>
                </v:textbox>
              </v:shape>
            </w:pict>
          </mc:Fallback>
        </mc:AlternateContent>
      </w:r>
      <w:r w:rsidRPr="00231A9E">
        <w:rPr>
          <w:b/>
          <w:noProof/>
          <w:sz w:val="24"/>
          <w:szCs w:val="24"/>
          <w:lang w:eastAsia="id-ID"/>
        </w:rPr>
        <mc:AlternateContent>
          <mc:Choice Requires="wps">
            <w:drawing>
              <wp:anchor distT="0" distB="0" distL="114300" distR="114300" simplePos="0" relativeHeight="251671552" behindDoc="0" locked="0" layoutInCell="1" allowOverlap="1" wp14:anchorId="513E68F2" wp14:editId="624CEC92">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A619A9" w:rsidRPr="001B443D" w:rsidRDefault="00A619A9"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7F30CA">
        <w:rPr>
          <w:rFonts w:ascii="Times New Roman" w:hAnsi="Times New Roman" w:cs="Times New Roman"/>
          <w:sz w:val="24"/>
          <w:szCs w:val="24"/>
        </w:rPr>
        <w:t xml:space="preserve">Menurut </w:t>
      </w:r>
      <w:r w:rsidR="007F30CA" w:rsidRPr="007F30CA">
        <w:rPr>
          <w:rFonts w:ascii="Times New Roman" w:hAnsi="Times New Roman" w:cs="Times New Roman"/>
          <w:sz w:val="24"/>
          <w:szCs w:val="24"/>
        </w:rPr>
        <w:fldChar w:fldCharType="begin" w:fldLock="1"/>
      </w:r>
      <w:r w:rsidR="007F30CA" w:rsidRPr="007F30CA">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7F30CA">
        <w:rPr>
          <w:rFonts w:ascii="Times New Roman" w:hAnsi="Times New Roman" w:cs="Times New Roman"/>
          <w:sz w:val="24"/>
          <w:szCs w:val="24"/>
        </w:rPr>
        <w:fldChar w:fldCharType="separate"/>
      </w:r>
      <w:r w:rsidR="007F30CA" w:rsidRPr="007F30CA">
        <w:rPr>
          <w:rFonts w:ascii="Times New Roman" w:hAnsi="Times New Roman" w:cs="Times New Roman"/>
          <w:noProof/>
          <w:sz w:val="24"/>
          <w:szCs w:val="24"/>
        </w:rPr>
        <w:t>(Taswan, 2015, hal. 167)</w:t>
      </w:r>
      <w:r w:rsidR="007F30CA" w:rsidRPr="007F30CA">
        <w:rPr>
          <w:rFonts w:ascii="Times New Roman" w:hAnsi="Times New Roman" w:cs="Times New Roman"/>
          <w:sz w:val="24"/>
          <w:szCs w:val="24"/>
        </w:rPr>
        <w:fldChar w:fldCharType="end"/>
      </w:r>
      <w:r w:rsidR="007F30CA" w:rsidRPr="007F30CA">
        <w:rPr>
          <w:rFonts w:ascii="Times New Roman" w:hAnsi="Times New Roman" w:cs="Times New Roman"/>
          <w:sz w:val="24"/>
          <w:szCs w:val="24"/>
        </w:rPr>
        <w:t xml:space="preserve"> menyatakan bahwa </w:t>
      </w:r>
      <w:r w:rsidR="007F30CA" w:rsidRPr="007F30CA">
        <w:rPr>
          <w:rFonts w:ascii="Times New Roman" w:hAnsi="Times New Roman" w:cs="Times New Roman"/>
          <w:i/>
          <w:sz w:val="24"/>
          <w:szCs w:val="24"/>
        </w:rPr>
        <w:t>Net Interest Margin</w:t>
      </w:r>
      <w:r w:rsidR="007F30CA" w:rsidRPr="007F30CA">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w:t>
      </w:r>
      <w:r w:rsidR="007F30CA" w:rsidRPr="001B443D">
        <w:rPr>
          <w:rFonts w:ascii="Times New Roman" w:hAnsi="Times New Roman" w:cs="Times New Roman"/>
          <w:sz w:val="24"/>
          <w:szCs w:val="24"/>
        </w:rPr>
        <w:t xml:space="preserve"> Rumus </w:t>
      </w:r>
      <w:r w:rsidR="007F30CA" w:rsidRPr="001B443D">
        <w:rPr>
          <w:rFonts w:ascii="Times New Roman" w:hAnsi="Times New Roman" w:cs="Times New Roman"/>
          <w:i/>
          <w:sz w:val="24"/>
          <w:szCs w:val="24"/>
        </w:rPr>
        <w:t xml:space="preserve">Net Interest Margin </w:t>
      </w:r>
      <w:r w:rsidR="007F30CA" w:rsidRPr="001B443D">
        <w:rPr>
          <w:rFonts w:ascii="Times New Roman" w:hAnsi="Times New Roman" w:cs="Times New Roman"/>
          <w:sz w:val="24"/>
          <w:szCs w:val="24"/>
        </w:rPr>
        <w:t xml:space="preserve">(NIM) menurut Surat Edaran Bank Indonesia No. 13/24/DPNP </w:t>
      </w:r>
      <w:r w:rsidR="007F30CA" w:rsidRPr="001B443D">
        <w:rPr>
          <w:rFonts w:ascii="Times New Roman" w:hAnsi="Times New Roman" w:cs="Times New Roman"/>
          <w:sz w:val="24"/>
          <w:szCs w:val="24"/>
        </w:rPr>
        <w:fldChar w:fldCharType="begin" w:fldLock="1"/>
      </w:r>
      <w:r w:rsidR="007F30CA" w:rsidRPr="001B443D">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1B443D">
        <w:rPr>
          <w:rFonts w:ascii="Times New Roman" w:hAnsi="Times New Roman" w:cs="Times New Roman"/>
          <w:sz w:val="24"/>
          <w:szCs w:val="24"/>
        </w:rPr>
        <w:fldChar w:fldCharType="separate"/>
      </w:r>
      <w:r w:rsidR="007F30CA" w:rsidRPr="001B443D">
        <w:rPr>
          <w:rFonts w:ascii="Times New Roman" w:hAnsi="Times New Roman" w:cs="Times New Roman"/>
          <w:noProof/>
          <w:sz w:val="24"/>
          <w:szCs w:val="24"/>
        </w:rPr>
        <w:t>(BI, 2011)</w:t>
      </w:r>
      <w:r w:rsidR="007F30CA" w:rsidRPr="001B443D">
        <w:rPr>
          <w:rFonts w:ascii="Times New Roman" w:hAnsi="Times New Roman" w:cs="Times New Roman"/>
          <w:sz w:val="24"/>
          <w:szCs w:val="24"/>
        </w:rPr>
        <w:fldChar w:fldCharType="end"/>
      </w:r>
      <w:r w:rsidR="007F30CA" w:rsidRPr="001B443D">
        <w:rPr>
          <w:rFonts w:ascii="Times New Roman" w:hAnsi="Times New Roman" w:cs="Times New Roman"/>
          <w:sz w:val="24"/>
          <w:szCs w:val="24"/>
        </w:rPr>
        <w:t xml:space="preserve"> tanggal 25 Oktober 2011 adalah sebagai berikut :</w:t>
      </w:r>
    </w:p>
    <w:p w:rsidR="007F30CA" w:rsidRPr="001B443D" w:rsidRDefault="001B443D" w:rsidP="007F30CA">
      <w:pPr>
        <w:spacing w:line="480" w:lineRule="auto"/>
        <w:jc w:val="both"/>
        <w:rPr>
          <w:rFonts w:ascii="Times New Roman" w:hAnsi="Times New Roman" w:cs="Times New Roman"/>
          <w:sz w:val="24"/>
          <w:szCs w:val="24"/>
        </w:rPr>
      </w:pPr>
      <w:r w:rsidRPr="001B443D">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719A8882" wp14:editId="5073C60E">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1B443D">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3B8EB01F" wp14:editId="6C075D7D">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A619A9" w:rsidRPr="001B443D" w:rsidRDefault="00A619A9"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Rata </w:t>
                      </w:r>
                      <w:r w:rsidRPr="001B443D">
                        <w:rPr>
                          <w:rFonts w:ascii="Times New Roman" w:hAnsi="Times New Roman" w:cs="Times New Roman"/>
                          <w:sz w:val="24"/>
                        </w:rPr>
                        <w:t>– rata Aktifa Produktif</w:t>
                      </w:r>
                    </w:p>
                  </w:txbxContent>
                </v:textbox>
              </v:shape>
            </w:pict>
          </mc:Fallback>
        </mc:AlternateContent>
      </w:r>
    </w:p>
    <w:p w:rsidR="00AF7643" w:rsidRPr="00E10DF0" w:rsidRDefault="007F30CA" w:rsidP="00E10DF0">
      <w:pPr>
        <w:spacing w:line="480" w:lineRule="auto"/>
        <w:ind w:left="720" w:firstLine="720"/>
        <w:jc w:val="both"/>
        <w:rPr>
          <w:rFonts w:ascii="Times New Roman" w:hAnsi="Times New Roman" w:cs="Times New Roman"/>
          <w:sz w:val="24"/>
          <w:szCs w:val="24"/>
        </w:rPr>
      </w:pPr>
      <w:r w:rsidRPr="001B443D">
        <w:rPr>
          <w:rFonts w:ascii="Times New Roman" w:hAnsi="Times New Roman" w:cs="Times New Roman"/>
          <w:sz w:val="24"/>
          <w:szCs w:val="24"/>
        </w:rPr>
        <w:t xml:space="preserve">Sumber : </w:t>
      </w:r>
      <w:r w:rsidR="00E10DF0">
        <w:rPr>
          <w:rFonts w:ascii="Times New Roman" w:hAnsi="Times New Roman" w:cs="Times New Roman"/>
          <w:sz w:val="24"/>
          <w:szCs w:val="24"/>
        </w:rPr>
        <w:t>SE BI No. 13/24/DPNP Tahun 2011</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E768C9">
      <w:pPr>
        <w:spacing w:line="480" w:lineRule="auto"/>
        <w:jc w:val="center"/>
        <w:rPr>
          <w:rFonts w:ascii="Times New Roman" w:hAnsi="Times New Roman" w:cs="Times New Roman"/>
          <w:sz w:val="24"/>
        </w:rPr>
      </w:pPr>
      <w:r w:rsidRPr="00DC08FE">
        <w:rPr>
          <w:rFonts w:ascii="Times New Roman" w:hAnsi="Times New Roman" w:cs="Times New Roman"/>
          <w:sz w:val="24"/>
        </w:rPr>
        <w:t>Sumber : Data diolah,2023</w:t>
      </w:r>
    </w:p>
    <w:p w:rsidR="00E10DF0" w:rsidRPr="00E10DF0" w:rsidRDefault="00E10DF0" w:rsidP="000F7071">
      <w:pPr>
        <w:spacing w:line="480" w:lineRule="auto"/>
        <w:ind w:firstLine="720"/>
        <w:jc w:val="both"/>
        <w:rPr>
          <w:rFonts w:ascii="Times New Roman" w:hAnsi="Times New Roman" w:cs="Times New Roman"/>
          <w:sz w:val="24"/>
          <w:szCs w:val="24"/>
        </w:rPr>
      </w:pPr>
      <w:r w:rsidRPr="00E10DF0">
        <w:rPr>
          <w:rFonts w:ascii="Times New Roman" w:hAnsi="Times New Roman" w:cs="Times New Roman"/>
          <w:sz w:val="24"/>
          <w:szCs w:val="24"/>
        </w:rPr>
        <w:t xml:space="preserve">Menurut </w:t>
      </w:r>
      <w:r w:rsidRPr="00E10DF0">
        <w:rPr>
          <w:rFonts w:ascii="Times New Roman" w:hAnsi="Times New Roman" w:cs="Times New Roman"/>
          <w:sz w:val="24"/>
          <w:szCs w:val="24"/>
        </w:rPr>
        <w:fldChar w:fldCharType="begin" w:fldLock="1"/>
      </w:r>
      <w:r w:rsidRPr="00E10DF0">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10DF0">
        <w:rPr>
          <w:rFonts w:ascii="Times New Roman" w:hAnsi="Times New Roman" w:cs="Times New Roman"/>
          <w:sz w:val="24"/>
          <w:szCs w:val="24"/>
        </w:rPr>
        <w:fldChar w:fldCharType="separate"/>
      </w:r>
      <w:r w:rsidRPr="00E10DF0">
        <w:rPr>
          <w:rFonts w:ascii="Times New Roman" w:hAnsi="Times New Roman" w:cs="Times New Roman"/>
          <w:noProof/>
          <w:sz w:val="24"/>
          <w:szCs w:val="24"/>
        </w:rPr>
        <w:t>(Kasmir, 2018, hal. 201)</w:t>
      </w:r>
      <w:r w:rsidRPr="00E10DF0">
        <w:rPr>
          <w:rFonts w:ascii="Times New Roman" w:hAnsi="Times New Roman" w:cs="Times New Roman"/>
          <w:sz w:val="24"/>
          <w:szCs w:val="24"/>
        </w:rPr>
        <w:fldChar w:fldCharType="end"/>
      </w:r>
      <w:r w:rsidRPr="00E10DF0">
        <w:rPr>
          <w:rFonts w:ascii="Times New Roman" w:hAnsi="Times New Roman" w:cs="Times New Roman"/>
          <w:sz w:val="24"/>
          <w:szCs w:val="24"/>
        </w:rPr>
        <w:t xml:space="preserve"> </w:t>
      </w:r>
      <w:r w:rsidRPr="00E10DF0">
        <w:rPr>
          <w:rFonts w:ascii="Times New Roman" w:hAnsi="Times New Roman" w:cs="Times New Roman"/>
          <w:i/>
          <w:sz w:val="24"/>
          <w:szCs w:val="24"/>
        </w:rPr>
        <w:t xml:space="preserve">Return On Asset </w:t>
      </w:r>
      <w:r w:rsidRPr="009A60E2">
        <w:rPr>
          <w:rFonts w:ascii="Times New Roman" w:hAnsi="Times New Roman" w:cs="Times New Roman"/>
          <w:sz w:val="24"/>
          <w:szCs w:val="24"/>
        </w:rPr>
        <w:t>(ROA)</w:t>
      </w:r>
      <w:r w:rsidRPr="00E10DF0">
        <w:rPr>
          <w:rFonts w:ascii="Times New Roman" w:hAnsi="Times New Roman" w:cs="Times New Roman"/>
          <w:sz w:val="24"/>
          <w:szCs w:val="24"/>
        </w:rPr>
        <w:t xml:space="preserve"> adalah Rasio yang menunjukan hasil </w:t>
      </w:r>
      <w:r w:rsidRPr="00D12AB4">
        <w:rPr>
          <w:rFonts w:ascii="Times New Roman" w:hAnsi="Times New Roman" w:cs="Times New Roman"/>
          <w:i/>
          <w:sz w:val="24"/>
          <w:szCs w:val="24"/>
        </w:rPr>
        <w:t>(return)</w:t>
      </w:r>
      <w:r w:rsidRPr="00E10DF0">
        <w:rPr>
          <w:rFonts w:ascii="Times New Roman" w:hAnsi="Times New Roman" w:cs="Times New Roman"/>
          <w:sz w:val="24"/>
          <w:szCs w:val="24"/>
        </w:rPr>
        <w:t xml:space="preserve"> atas jumlah aktiva yang digunakan dalam perusahaan. Selain itu, </w:t>
      </w:r>
      <w:r w:rsidRPr="00E10DF0">
        <w:rPr>
          <w:rFonts w:ascii="Times New Roman" w:hAnsi="Times New Roman" w:cs="Times New Roman"/>
          <w:i/>
          <w:sz w:val="24"/>
          <w:szCs w:val="24"/>
        </w:rPr>
        <w:t xml:space="preserve">Return On Asset </w:t>
      </w:r>
      <w:r w:rsidRPr="00D12AB4">
        <w:rPr>
          <w:rFonts w:ascii="Times New Roman" w:hAnsi="Times New Roman" w:cs="Times New Roman"/>
          <w:sz w:val="24"/>
          <w:szCs w:val="24"/>
        </w:rPr>
        <w:t>(ROA)</w:t>
      </w:r>
      <w:r w:rsidRPr="00E10DF0">
        <w:rPr>
          <w:rFonts w:ascii="Times New Roman" w:hAnsi="Times New Roman" w:cs="Times New Roman"/>
          <w:sz w:val="24"/>
          <w:szCs w:val="24"/>
        </w:rPr>
        <w:t xml:space="preserve"> memberikan ukuran yang lebih baik atas profitabilitas perusahaan karena menunjukan efektivitas manajemen dalam menggunakan aktiva untuk memperoleh pendapatan. Adapun rumus untuk menghitung </w:t>
      </w:r>
      <w:r w:rsidRPr="00D12AB4">
        <w:rPr>
          <w:rFonts w:ascii="Times New Roman" w:hAnsi="Times New Roman" w:cs="Times New Roman"/>
          <w:i/>
          <w:sz w:val="24"/>
          <w:szCs w:val="24"/>
        </w:rPr>
        <w:t>Return On Asset</w:t>
      </w:r>
      <w:r w:rsidRPr="00E10DF0">
        <w:rPr>
          <w:rFonts w:ascii="Times New Roman" w:hAnsi="Times New Roman" w:cs="Times New Roman"/>
          <w:sz w:val="24"/>
          <w:szCs w:val="24"/>
        </w:rPr>
        <w:t xml:space="preserve"> (ROA) adalah sebagai berikut :</w:t>
      </w:r>
    </w:p>
    <w:p w:rsidR="009A60E2" w:rsidRDefault="009A60E2" w:rsidP="00E10DF0">
      <w:pPr>
        <w:tabs>
          <w:tab w:val="left" w:pos="2415"/>
        </w:tabs>
        <w:rPr>
          <w:sz w:val="24"/>
          <w:szCs w:val="24"/>
        </w:rPr>
      </w:pPr>
    </w:p>
    <w:p w:rsidR="009A60E2" w:rsidRDefault="001C60BA" w:rsidP="00E10DF0">
      <w:pPr>
        <w:tabs>
          <w:tab w:val="left" w:pos="2415"/>
        </w:tabs>
        <w:rPr>
          <w:sz w:val="24"/>
          <w:szCs w:val="24"/>
        </w:rPr>
      </w:pPr>
      <w:r w:rsidRPr="00231A9E">
        <w:rPr>
          <w:b/>
          <w:noProof/>
          <w:sz w:val="24"/>
          <w:szCs w:val="24"/>
          <w:lang w:eastAsia="id-ID"/>
        </w:rPr>
        <w:lastRenderedPageBreak/>
        <mc:AlternateContent>
          <mc:Choice Requires="wps">
            <w:drawing>
              <wp:anchor distT="0" distB="0" distL="114300" distR="114300" simplePos="0" relativeHeight="251679744" behindDoc="0" locked="0" layoutInCell="1" allowOverlap="1" wp14:anchorId="08C31A90" wp14:editId="3FDEC811">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A619A9" w:rsidRPr="001B443D" w:rsidRDefault="00A619A9"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77696" behindDoc="0" locked="0" layoutInCell="1" allowOverlap="1" wp14:anchorId="6D9A754F" wp14:editId="59934698">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A619A9" w:rsidRPr="00656A40" w:rsidRDefault="00A619A9"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74624" behindDoc="0" locked="0" layoutInCell="1" allowOverlap="1" wp14:anchorId="02080878" wp14:editId="09398F81">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231A9E">
        <w:rPr>
          <w:noProof/>
          <w:sz w:val="24"/>
          <w:szCs w:val="24"/>
          <w:lang w:eastAsia="id-ID"/>
        </w:rPr>
        <mc:AlternateContent>
          <mc:Choice Requires="wps">
            <w:drawing>
              <wp:anchor distT="0" distB="0" distL="114300" distR="114300" simplePos="0" relativeHeight="251673600" behindDoc="0" locked="0" layoutInCell="1" allowOverlap="1" wp14:anchorId="00430C48" wp14:editId="273AC40C">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A619A9" w:rsidRPr="00656A40" w:rsidRDefault="00A619A9"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Pr>
          <w:b/>
          <w:noProof/>
          <w:sz w:val="24"/>
          <w:szCs w:val="24"/>
          <w:lang w:eastAsia="id-ID"/>
        </w:rPr>
        <mc:AlternateContent>
          <mc:Choice Requires="wps">
            <w:drawing>
              <wp:anchor distT="0" distB="0" distL="114300" distR="114300" simplePos="0" relativeHeight="251680768" behindDoc="0" locked="0" layoutInCell="1" allowOverlap="1" wp14:anchorId="147FB6CA" wp14:editId="029427AF">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231A9E">
        <w:rPr>
          <w:noProof/>
          <w:sz w:val="24"/>
          <w:szCs w:val="24"/>
          <w:lang w:eastAsia="id-ID"/>
        </w:rPr>
        <mc:AlternateContent>
          <mc:Choice Requires="wps">
            <w:drawing>
              <wp:anchor distT="0" distB="0" distL="114300" distR="114300" simplePos="0" relativeHeight="251675648" behindDoc="0" locked="0" layoutInCell="1" allowOverlap="1" wp14:anchorId="5EE920F7" wp14:editId="30A29B18">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A619A9" w:rsidRPr="00656A40" w:rsidRDefault="00A619A9"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Default="009A60E2" w:rsidP="00E10DF0">
      <w:pPr>
        <w:tabs>
          <w:tab w:val="left" w:pos="2415"/>
        </w:tabs>
        <w:rPr>
          <w:sz w:val="24"/>
          <w:szCs w:val="24"/>
        </w:rPr>
      </w:pPr>
    </w:p>
    <w:p w:rsidR="009A60E2" w:rsidRPr="001C60BA" w:rsidRDefault="00E10DF0" w:rsidP="001C60BA">
      <w:pPr>
        <w:tabs>
          <w:tab w:val="left" w:pos="2415"/>
        </w:tabs>
        <w:ind w:firstLine="1701"/>
        <w:rPr>
          <w:rFonts w:ascii="Times New Roman" w:hAnsi="Times New Roman" w:cs="Times New Roman"/>
          <w:sz w:val="24"/>
          <w:szCs w:val="24"/>
        </w:rPr>
      </w:pPr>
      <w:r w:rsidRPr="001C60BA">
        <w:rPr>
          <w:rFonts w:ascii="Times New Roman" w:hAnsi="Times New Roman" w:cs="Times New Roman"/>
          <w:sz w:val="24"/>
          <w:szCs w:val="24"/>
        </w:rPr>
        <w:t>Sumber : Kasmir (2018:199)</w:t>
      </w:r>
      <w:r w:rsidR="00656A40" w:rsidRPr="001C60BA">
        <w:rPr>
          <w:rFonts w:ascii="Times New Roman" w:hAnsi="Times New Roman" w:cs="Times New Roman"/>
          <w:b/>
          <w:noProof/>
          <w:sz w:val="24"/>
          <w:szCs w:val="24"/>
          <w:lang w:eastAsia="id-ID"/>
        </w:rPr>
        <w:t xml:space="preserve"> </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80362C" w:rsidRPr="006F4D9B" w:rsidRDefault="006F4D9B" w:rsidP="00E768C9">
      <w:pPr>
        <w:pStyle w:val="NormalWeb"/>
        <w:shd w:val="clear" w:color="auto" w:fill="FFFFFF"/>
        <w:spacing w:line="480" w:lineRule="auto"/>
        <w:jc w:val="center"/>
        <w:rPr>
          <w:rFonts w:eastAsiaTheme="minorHAnsi"/>
          <w:szCs w:val="22"/>
          <w:lang w:eastAsia="en-US"/>
        </w:rPr>
      </w:pPr>
      <w:r w:rsidRPr="006F4D9B">
        <w:rPr>
          <w:rFonts w:eastAsiaTheme="minorHAnsi"/>
          <w:szCs w:val="22"/>
          <w:lang w:eastAsia="en-US"/>
        </w:rPr>
        <w:t>Sumber : Data diolah, 2023</w:t>
      </w: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 xml:space="preserve">Loan to Deposit Ratio </w:t>
      </w:r>
      <w:r w:rsidR="003A2C2B" w:rsidRPr="002C41DD">
        <w:rPr>
          <w:rFonts w:ascii="Times New Roman" w:hAnsi="Times New Roman" w:cs="Times New Roman"/>
          <w:sz w:val="24"/>
          <w:szCs w:val="24"/>
        </w:rPr>
        <w:t>(LDR),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 xml:space="preserve">Net Interest Margin </w:t>
      </w:r>
      <w:r w:rsidR="003A2C2B" w:rsidRPr="002C41DD">
        <w:rPr>
          <w:rFonts w:ascii="Times New Roman" w:hAnsi="Times New Roman" w:cs="Times New Roman"/>
          <w:sz w:val="24"/>
          <w:szCs w:val="24"/>
        </w:rPr>
        <w:t>(NIM),</w:t>
      </w:r>
      <w:r w:rsidR="003A2C2B" w:rsidRPr="003A2C2B">
        <w:rPr>
          <w:rFonts w:ascii="Times New Roman" w:hAnsi="Times New Roman" w:cs="Times New Roman"/>
          <w:i/>
          <w:sz w:val="24"/>
          <w:szCs w:val="24"/>
        </w:rPr>
        <w:t xml:space="preserve"> Return On Asset</w:t>
      </w:r>
      <w:r w:rsidR="003A2C2B" w:rsidRPr="003A2C2B">
        <w:rPr>
          <w:rFonts w:ascii="Times New Roman" w:hAnsi="Times New Roman" w:cs="Times New Roman"/>
          <w:sz w:val="24"/>
          <w:szCs w:val="24"/>
        </w:rPr>
        <w:t xml:space="preserve"> (ROA)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 xml:space="preserve">Loan to Deposit Ratio </w:t>
      </w:r>
      <w:r w:rsidR="004E48A8" w:rsidRPr="002C41DD">
        <w:rPr>
          <w:rFonts w:ascii="Times New Roman" w:hAnsi="Times New Roman" w:cs="Times New Roman"/>
          <w:sz w:val="24"/>
          <w:szCs w:val="24"/>
        </w:rPr>
        <w:t>(LDR),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 xml:space="preserve">Net Interest Margin </w:t>
      </w:r>
      <w:r w:rsidR="004E48A8" w:rsidRPr="002C41DD">
        <w:rPr>
          <w:rFonts w:ascii="Times New Roman" w:hAnsi="Times New Roman" w:cs="Times New Roman"/>
          <w:sz w:val="24"/>
          <w:szCs w:val="24"/>
        </w:rPr>
        <w:t>(NIM),</w:t>
      </w:r>
      <w:r w:rsidR="004E48A8" w:rsidRPr="003A2C2B">
        <w:rPr>
          <w:rFonts w:ascii="Times New Roman" w:hAnsi="Times New Roman" w:cs="Times New Roman"/>
          <w:i/>
          <w:sz w:val="24"/>
          <w:szCs w:val="24"/>
        </w:rPr>
        <w:t xml:space="preserve">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0F7071">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E768C9">
      <w:pPr>
        <w:jc w:val="center"/>
        <w:rPr>
          <w:rFonts w:ascii="Times New Roman" w:hAnsi="Times New Roman" w:cs="Times New Roman"/>
          <w:sz w:val="24"/>
          <w:szCs w:val="24"/>
        </w:rPr>
      </w:pPr>
      <w:r w:rsidRPr="008B26F4">
        <w:rPr>
          <w:rFonts w:ascii="Times New Roman" w:hAnsi="Times New Roman" w:cs="Times New Roman"/>
          <w:sz w:val="24"/>
          <w:szCs w:val="24"/>
        </w:rPr>
        <w:t>Sumber : 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0F7071" w:rsidP="00EC6655">
      <w:pPr>
        <w:pStyle w:val="NormalWeb"/>
        <w:shd w:val="clear" w:color="auto" w:fill="FFFFFF"/>
        <w:spacing w:line="480" w:lineRule="auto"/>
        <w:jc w:val="both"/>
        <w:rPr>
          <w:rFonts w:eastAsiaTheme="minorHAnsi"/>
          <w:b/>
          <w:szCs w:val="22"/>
          <w:lang w:eastAsia="en-US"/>
        </w:rPr>
      </w:pPr>
      <w:r>
        <w:rPr>
          <w:rFonts w:eastAsiaTheme="minorHAnsi"/>
          <w:b/>
          <w:szCs w:val="22"/>
          <w:lang w:eastAsia="en-US"/>
        </w:rPr>
        <w:t>4.2.2</w:t>
      </w:r>
      <w:r>
        <w:rPr>
          <w:rFonts w:eastAsiaTheme="minorHAnsi"/>
          <w:b/>
          <w:szCs w:val="22"/>
          <w:lang w:eastAsia="en-US"/>
        </w:rPr>
        <w:tab/>
      </w:r>
      <w:r w:rsidR="00F16656">
        <w:rPr>
          <w:rFonts w:eastAsiaTheme="minorHAnsi"/>
          <w:b/>
          <w:szCs w:val="22"/>
          <w:lang w:eastAsia="en-US"/>
        </w:rPr>
        <w:t xml:space="preserve">Hasil </w:t>
      </w:r>
      <w:r w:rsidR="00EC6655" w:rsidRPr="003523C6">
        <w:rPr>
          <w:rFonts w:eastAsiaTheme="minorHAnsi"/>
          <w:b/>
          <w:szCs w:val="22"/>
          <w:lang w:eastAsia="en-US"/>
        </w:rPr>
        <w:t xml:space="preserve">Uji Analisis Asosiatif </w:t>
      </w:r>
    </w:p>
    <w:p w:rsidR="0090224B" w:rsidRDefault="003C7374" w:rsidP="000F7071">
      <w:pPr>
        <w:spacing w:line="480" w:lineRule="auto"/>
        <w:ind w:firstLine="720"/>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14:anchorId="5763A166" wp14:editId="2433ACDC">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B35985">
      <w:pPr>
        <w:jc w:val="cente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0F707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14:anchorId="6D7B2F7D" wp14:editId="29D9B7C3">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B35985">
      <w:pPr>
        <w:jc w:val="cente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0F7071">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14:anchorId="206B7627" wp14:editId="55A0867D">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B35985">
      <w:pPr>
        <w:jc w:val="cente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0F7071">
      <w:pPr>
        <w:spacing w:line="480" w:lineRule="auto"/>
        <w:ind w:firstLine="567"/>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0F7071">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0A545ED4" wp14:editId="61C69054">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35985">
      <w:pPr>
        <w:pStyle w:val="NormalWeb"/>
        <w:shd w:val="clear" w:color="auto" w:fill="FFFFFF"/>
        <w:jc w:val="center"/>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0F7071">
      <w:pPr>
        <w:pStyle w:val="NormalWeb"/>
        <w:shd w:val="clear" w:color="auto" w:fill="FFFFFF"/>
        <w:spacing w:line="480" w:lineRule="auto"/>
        <w:ind w:left="720" w:firstLine="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91CB7" w:rsidRPr="00791CB7" w:rsidRDefault="00791CB7" w:rsidP="00791CB7"/>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199BD1E4" wp14:editId="09CFD679">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B35985">
      <w:pPr>
        <w:pStyle w:val="NormalWeb"/>
        <w:shd w:val="clear" w:color="auto" w:fill="FFFFFF"/>
        <w:spacing w:line="480" w:lineRule="auto"/>
        <w:jc w:val="center"/>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465921" w:rsidRPr="00465921" w:rsidRDefault="00465921" w:rsidP="0046592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Uji Lagrange Multiplier</w:t>
      </w:r>
    </w:p>
    <w:p w:rsidR="00072264" w:rsidRPr="00AD7AE8" w:rsidRDefault="00761361" w:rsidP="000F7071">
      <w:pPr>
        <w:spacing w:line="480" w:lineRule="auto"/>
        <w:ind w:left="720" w:firstLine="720"/>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r>
        <w:rPr>
          <w:rFonts w:ascii="Times New Roman" w:hAnsi="Times New Roman" w:cs="Times New Roman"/>
          <w:sz w:val="24"/>
          <w:szCs w:val="24"/>
        </w:rPr>
        <w:t xml:space="preserve"> u</w:t>
      </w:r>
      <w:r w:rsidR="00034E27" w:rsidRPr="00AD7AE8">
        <w:rPr>
          <w:rFonts w:ascii="Times New Roman" w:hAnsi="Times New Roman" w:cs="Times New Roman"/>
          <w:sz w:val="24"/>
          <w:szCs w:val="24"/>
        </w:rPr>
        <w:t>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00034E27" w:rsidRPr="00AD7AE8">
        <w:rPr>
          <w:rFonts w:ascii="Times New Roman" w:hAnsi="Times New Roman" w:cs="Times New Roman"/>
          <w:sz w:val="24"/>
          <w:szCs w:val="24"/>
        </w:rPr>
        <w:t xml:space="preserve"> </w:t>
      </w:r>
      <w:r w:rsidR="00034E27" w:rsidRPr="00AD7AE8">
        <w:rPr>
          <w:rFonts w:ascii="Times New Roman" w:hAnsi="Times New Roman" w:cs="Times New Roman"/>
          <w:sz w:val="24"/>
          <w:szCs w:val="24"/>
        </w:rPr>
        <w:lastRenderedPageBreak/>
        <w:t>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Default="008E19E4" w:rsidP="008E19E4">
      <w:pPr>
        <w:pStyle w:val="NormalWeb"/>
        <w:shd w:val="clear" w:color="auto" w:fill="FFFFFF"/>
        <w:spacing w:line="480" w:lineRule="auto"/>
        <w:jc w:val="both"/>
        <w:rPr>
          <w:b/>
          <w:color w:val="000000" w:themeColor="text1"/>
        </w:rPr>
      </w:pPr>
      <w:r w:rsidRPr="00AD7AE8">
        <w:rPr>
          <w:b/>
          <w:color w:val="000000" w:themeColor="text1"/>
        </w:rPr>
        <w:t xml:space="preserve">4.2.3 </w:t>
      </w:r>
      <w:r w:rsidR="00405354">
        <w:rPr>
          <w:b/>
          <w:color w:val="000000" w:themeColor="text1"/>
        </w:rPr>
        <w:tab/>
      </w:r>
      <w:r w:rsidRPr="00AD7AE8">
        <w:rPr>
          <w:b/>
          <w:color w:val="000000" w:themeColor="text1"/>
        </w:rPr>
        <w:t>Hasil Uji Hipotesis Statistik</w:t>
      </w:r>
    </w:p>
    <w:p w:rsidR="00405354" w:rsidRPr="00AD7AE8" w:rsidRDefault="00405354" w:rsidP="008E19E4">
      <w:pPr>
        <w:pStyle w:val="NormalWeb"/>
        <w:shd w:val="clear" w:color="auto" w:fill="FFFFFF"/>
        <w:spacing w:line="480" w:lineRule="auto"/>
        <w:jc w:val="both"/>
        <w:rPr>
          <w:b/>
          <w:color w:val="000000" w:themeColor="text1"/>
        </w:rPr>
      </w:pPr>
      <w:r>
        <w:rPr>
          <w:b/>
          <w:color w:val="000000" w:themeColor="text1"/>
        </w:rPr>
        <w:t xml:space="preserve">4.2.3.1 Hasil Analisi Regeresi Data Panel </w:t>
      </w:r>
    </w:p>
    <w:p w:rsidR="00ED2877" w:rsidRDefault="00ED2877" w:rsidP="001E7C0A">
      <w:pPr>
        <w:pStyle w:val="NormalWeb"/>
        <w:shd w:val="clear" w:color="auto" w:fill="FFFFFF"/>
        <w:spacing w:line="480" w:lineRule="auto"/>
        <w:ind w:firstLine="720"/>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w:t>
      </w:r>
      <w:r w:rsidR="00B3639E">
        <w:rPr>
          <w:color w:val="000000" w:themeColor="text1"/>
        </w:rPr>
        <w:t xml:space="preserve">uji hipotesis yakni persamaan regresi data panel menggunakan </w:t>
      </w:r>
      <w:r w:rsidRPr="00ED2877">
        <w:rPr>
          <w:color w:val="000000" w:themeColor="text1"/>
        </w:rPr>
        <w:t>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14:anchorId="05638DBE" wp14:editId="574164D3">
            <wp:extent cx="4314825" cy="3109731"/>
            <wp:effectExtent l="19050" t="19050" r="9525" b="14605"/>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8799" cy="3112595"/>
                    </a:xfrm>
                    <a:prstGeom prst="rect">
                      <a:avLst/>
                    </a:prstGeom>
                    <a:noFill/>
                    <a:ln>
                      <a:solidFill>
                        <a:schemeClr val="tx1"/>
                      </a:solidFill>
                    </a:ln>
                  </pic:spPr>
                </pic:pic>
              </a:graphicData>
            </a:graphic>
          </wp:inline>
        </w:drawing>
      </w:r>
    </w:p>
    <w:p w:rsidR="00594EDF" w:rsidRDefault="00594EDF" w:rsidP="00B35985">
      <w:pPr>
        <w:jc w:val="cente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E94F1E">
      <w:pPr>
        <w:spacing w:line="480" w:lineRule="auto"/>
        <w:rPr>
          <w:rFonts w:ascii="Times New Roman" w:hAnsi="Times New Roman" w:cs="Times New Roman"/>
          <w:sz w:val="24"/>
          <w:lang w:eastAsia="id-ID"/>
        </w:rPr>
      </w:pPr>
      <w:r>
        <w:rPr>
          <w:rFonts w:ascii="Times New Roman" w:hAnsi="Times New Roman" w:cs="Times New Roman"/>
          <w:sz w:val="24"/>
          <w:lang w:eastAsia="id-ID"/>
        </w:rPr>
        <w:lastRenderedPageBreak/>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A236CA" w:rsidRDefault="00E83171" w:rsidP="00E94F1E">
      <w:pPr>
        <w:spacing w:line="480" w:lineRule="auto"/>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733044" w:rsidRDefault="00405354" w:rsidP="00E94F1E">
      <w:pPr>
        <w:spacing w:line="480" w:lineRule="auto"/>
        <w:rPr>
          <w:rFonts w:ascii="Times New Roman" w:hAnsi="Times New Roman" w:cs="Times New Roman"/>
          <w:b/>
          <w:sz w:val="24"/>
          <w:lang w:eastAsia="id-ID"/>
        </w:rPr>
      </w:pPr>
      <w:r>
        <w:rPr>
          <w:rFonts w:ascii="Times New Roman" w:hAnsi="Times New Roman" w:cs="Times New Roman"/>
          <w:b/>
          <w:sz w:val="24"/>
          <w:lang w:eastAsia="id-ID"/>
        </w:rPr>
        <w:t>4.2.3.2</w:t>
      </w:r>
      <w:r w:rsidR="00C44202" w:rsidRPr="00C44202">
        <w:rPr>
          <w:rFonts w:ascii="Times New Roman" w:hAnsi="Times New Roman" w:cs="Times New Roman"/>
          <w:b/>
          <w:sz w:val="24"/>
          <w:lang w:eastAsia="id-ID"/>
        </w:rPr>
        <w:t xml:space="preserve"> Hasil Uji t</w:t>
      </w:r>
    </w:p>
    <w:p w:rsidR="00C22389" w:rsidRPr="00C22389"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C22389">
        <w:rPr>
          <w:rFonts w:ascii="Times New Roman" w:hAnsi="Times New Roman" w:cs="Times New Roman"/>
          <w:color w:val="000000" w:themeColor="text1"/>
          <w:sz w:val="24"/>
          <w:szCs w:val="24"/>
        </w:rPr>
        <w:t xml:space="preserve">Tabel 4. </w:t>
      </w:r>
      <w:r w:rsidRPr="00C22389">
        <w:rPr>
          <w:rFonts w:ascii="Times New Roman" w:hAnsi="Times New Roman" w:cs="Times New Roman"/>
          <w:color w:val="000000" w:themeColor="text1"/>
          <w:sz w:val="24"/>
          <w:szCs w:val="24"/>
        </w:rPr>
        <w:fldChar w:fldCharType="begin"/>
      </w:r>
      <w:r w:rsidRPr="00C22389">
        <w:rPr>
          <w:rFonts w:ascii="Times New Roman" w:hAnsi="Times New Roman" w:cs="Times New Roman"/>
          <w:color w:val="000000" w:themeColor="text1"/>
          <w:sz w:val="24"/>
          <w:szCs w:val="24"/>
        </w:rPr>
        <w:instrText xml:space="preserve"> SEQ Tabel_4. \* ARABIC </w:instrText>
      </w:r>
      <w:r w:rsidRPr="00C22389">
        <w:rPr>
          <w:rFonts w:ascii="Times New Roman" w:hAnsi="Times New Roman" w:cs="Times New Roman"/>
          <w:color w:val="000000" w:themeColor="text1"/>
          <w:sz w:val="24"/>
          <w:szCs w:val="24"/>
        </w:rPr>
        <w:fldChar w:fldCharType="separate"/>
      </w:r>
      <w:r w:rsidR="000F7071">
        <w:rPr>
          <w:rFonts w:ascii="Times New Roman" w:hAnsi="Times New Roman" w:cs="Times New Roman"/>
          <w:noProof/>
          <w:color w:val="000000" w:themeColor="text1"/>
          <w:sz w:val="24"/>
          <w:szCs w:val="24"/>
        </w:rPr>
        <w:t>11</w:t>
      </w:r>
      <w:r w:rsidRPr="00C22389">
        <w:rPr>
          <w:rFonts w:ascii="Times New Roman" w:hAnsi="Times New Roman" w:cs="Times New Roman"/>
          <w:color w:val="000000" w:themeColor="text1"/>
          <w:sz w:val="24"/>
          <w:szCs w:val="24"/>
        </w:rPr>
        <w:fldChar w:fldCharType="end"/>
      </w:r>
      <w:r w:rsidRPr="00C22389">
        <w:rPr>
          <w:rFonts w:ascii="Times New Roman" w:hAnsi="Times New Roman" w:cs="Times New Roman"/>
          <w:color w:val="000000" w:themeColor="text1"/>
          <w:sz w:val="24"/>
          <w:szCs w:val="24"/>
        </w:rPr>
        <w:t xml:space="preserve"> Hasil Uji t</w:t>
      </w:r>
    </w:p>
    <w:p w:rsidR="00C44202" w:rsidRDefault="00C44202" w:rsidP="00C22389">
      <w:pPr>
        <w:jc w:val="center"/>
        <w:rPr>
          <w:rFonts w:ascii="Times New Roman" w:hAnsi="Times New Roman" w:cs="Times New Roman"/>
          <w:b/>
          <w:sz w:val="24"/>
          <w:lang w:eastAsia="id-ID"/>
        </w:rPr>
      </w:pPr>
      <w:r w:rsidRPr="005009DB">
        <w:rPr>
          <w:noProof/>
          <w:lang w:eastAsia="id-ID"/>
        </w:rPr>
        <w:drawing>
          <wp:inline distT="0" distB="0" distL="0" distR="0" wp14:anchorId="4195B135" wp14:editId="26BC28BB">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1E7C0A" w:rsidRDefault="001E7C0A" w:rsidP="00B35985">
      <w:pPr>
        <w:jc w:val="center"/>
        <w:rPr>
          <w:rFonts w:ascii="Times New Roman" w:hAnsi="Times New Roman" w:cs="Times New Roman"/>
          <w:sz w:val="24"/>
          <w:lang w:eastAsia="id-ID"/>
        </w:rPr>
      </w:pPr>
      <w:r w:rsidRPr="001E7C0A">
        <w:rPr>
          <w:rFonts w:ascii="Times New Roman" w:hAnsi="Times New Roman" w:cs="Times New Roman"/>
          <w:sz w:val="24"/>
          <w:lang w:eastAsia="id-ID"/>
        </w:rPr>
        <w:t>Sumber : Hasil olah STATA, 2023</w:t>
      </w:r>
    </w:p>
    <w:p w:rsidR="00733044" w:rsidRDefault="00DA4021" w:rsidP="00E94F1E">
      <w:pPr>
        <w:spacing w:line="480" w:lineRule="auto"/>
        <w:jc w:val="both"/>
        <w:rPr>
          <w:rFonts w:ascii="Times New Roman" w:hAnsi="Times New Roman" w:cs="Times New Roman"/>
          <w:sz w:val="24"/>
          <w:lang w:eastAsia="id-ID"/>
        </w:rPr>
      </w:pPr>
      <w:r>
        <w:rPr>
          <w:rFonts w:ascii="Times New Roman" w:hAnsi="Times New Roman" w:cs="Times New Roman"/>
          <w:sz w:val="24"/>
          <w:lang w:eastAsia="id-ID"/>
        </w:rPr>
        <w:tab/>
        <w:t>Pengaruh variabel independen terhadap variabel dependen secara parsial adalah sebagai berikut :</w:t>
      </w:r>
    </w:p>
    <w:p w:rsidR="00DA4021" w:rsidRDefault="003F6902" w:rsidP="00E94F1E">
      <w:pPr>
        <w:pStyle w:val="ListParagraph"/>
        <w:numPr>
          <w:ilvl w:val="0"/>
          <w:numId w:val="19"/>
        </w:numPr>
        <w:spacing w:line="480" w:lineRule="auto"/>
        <w:jc w:val="both"/>
        <w:rPr>
          <w:rFonts w:ascii="Times New Roman" w:hAnsi="Times New Roman" w:cs="Times New Roman"/>
          <w:sz w:val="24"/>
          <w:lang w:eastAsia="id-ID"/>
        </w:rPr>
      </w:pPr>
      <w:r>
        <w:rPr>
          <w:rFonts w:ascii="Times New Roman" w:hAnsi="Times New Roman" w:cs="Times New Roman"/>
          <w:sz w:val="24"/>
          <w:lang w:eastAsia="id-ID"/>
        </w:rPr>
        <w:t>Hasil uji t pada variabel LDR (X1) diperoleh nilai t hitung sebesar 5,</w:t>
      </w:r>
      <w:r w:rsidR="00A8057E">
        <w:rPr>
          <w:rFonts w:ascii="Times New Roman" w:hAnsi="Times New Roman" w:cs="Times New Roman"/>
          <w:sz w:val="24"/>
          <w:lang w:eastAsia="id-ID"/>
        </w:rPr>
        <w:t>17 &gt; t tabel 1,98</w:t>
      </w:r>
      <w:r>
        <w:rPr>
          <w:rFonts w:ascii="Times New Roman" w:hAnsi="Times New Roman" w:cs="Times New Roman"/>
          <w:sz w:val="24"/>
          <w:lang w:eastAsia="id-ID"/>
        </w:rPr>
        <w:t xml:space="preserve"> dan nilai sig. </w:t>
      </w:r>
      <w:r w:rsidR="00F45E62">
        <w:rPr>
          <w:rFonts w:ascii="Times New Roman" w:hAnsi="Times New Roman" w:cs="Times New Roman"/>
          <w:sz w:val="24"/>
          <w:lang w:eastAsia="id-ID"/>
        </w:rPr>
        <w:t>0,000 &lt; 0,05, maka H0 ditolak H1 diterima, artinya variabel LDR berpengaruh terhadap ROA pada prusahaan  perbankan yang terdaftar di Bursa Efek Indonesia.</w:t>
      </w:r>
    </w:p>
    <w:p w:rsidR="00DA4021" w:rsidRDefault="000A00B2" w:rsidP="00E94F1E">
      <w:pPr>
        <w:pStyle w:val="ListParagraph"/>
        <w:numPr>
          <w:ilvl w:val="0"/>
          <w:numId w:val="19"/>
        </w:numPr>
        <w:spacing w:line="480" w:lineRule="auto"/>
        <w:jc w:val="both"/>
        <w:rPr>
          <w:rFonts w:ascii="Times New Roman" w:hAnsi="Times New Roman" w:cs="Times New Roman"/>
          <w:sz w:val="24"/>
          <w:lang w:eastAsia="id-ID"/>
        </w:rPr>
      </w:pPr>
      <w:r>
        <w:rPr>
          <w:rFonts w:ascii="Times New Roman" w:hAnsi="Times New Roman" w:cs="Times New Roman"/>
          <w:sz w:val="24"/>
          <w:lang w:eastAsia="id-ID"/>
        </w:rPr>
        <w:t>Hasil uji t pada variabel NIM (X2</w:t>
      </w:r>
      <w:r>
        <w:rPr>
          <w:rFonts w:ascii="Times New Roman" w:hAnsi="Times New Roman" w:cs="Times New Roman"/>
          <w:sz w:val="24"/>
          <w:lang w:eastAsia="id-ID"/>
        </w:rPr>
        <w:t>) dip</w:t>
      </w:r>
      <w:r>
        <w:rPr>
          <w:rFonts w:ascii="Times New Roman" w:hAnsi="Times New Roman" w:cs="Times New Roman"/>
          <w:sz w:val="24"/>
          <w:lang w:eastAsia="id-ID"/>
        </w:rPr>
        <w:t>eroleh nilai t hitung sebesar 4,73</w:t>
      </w:r>
      <w:r w:rsidR="00A8057E">
        <w:rPr>
          <w:rFonts w:ascii="Times New Roman" w:hAnsi="Times New Roman" w:cs="Times New Roman"/>
          <w:sz w:val="24"/>
          <w:lang w:eastAsia="id-ID"/>
        </w:rPr>
        <w:t xml:space="preserve"> &gt; t tabel 1,98</w:t>
      </w:r>
      <w:r>
        <w:rPr>
          <w:rFonts w:ascii="Times New Roman" w:hAnsi="Times New Roman" w:cs="Times New Roman"/>
          <w:sz w:val="24"/>
          <w:lang w:eastAsia="id-ID"/>
        </w:rPr>
        <w:t xml:space="preserve"> dan nilai sig. 0,000 &lt; 0,05, maka H0 ditolak H</w:t>
      </w:r>
      <w:r w:rsidR="001D08F2">
        <w:rPr>
          <w:rFonts w:ascii="Times New Roman" w:hAnsi="Times New Roman" w:cs="Times New Roman"/>
          <w:sz w:val="24"/>
          <w:lang w:eastAsia="id-ID"/>
        </w:rPr>
        <w:t>1 diterima, artinya variabel NIM</w:t>
      </w:r>
      <w:r>
        <w:rPr>
          <w:rFonts w:ascii="Times New Roman" w:hAnsi="Times New Roman" w:cs="Times New Roman"/>
          <w:sz w:val="24"/>
          <w:lang w:eastAsia="id-ID"/>
        </w:rPr>
        <w:t xml:space="preserve"> berpengaruh terhadap ROA pada prusahaan  perbankan yang terdaftar di Bursa Efek Indonesia.</w:t>
      </w:r>
    </w:p>
    <w:p w:rsidR="000F7071" w:rsidRDefault="000F7071" w:rsidP="000F7071">
      <w:pPr>
        <w:pStyle w:val="ListParagraph"/>
        <w:spacing w:line="480" w:lineRule="auto"/>
        <w:jc w:val="both"/>
        <w:rPr>
          <w:rFonts w:ascii="Times New Roman" w:hAnsi="Times New Roman" w:cs="Times New Roman"/>
          <w:sz w:val="24"/>
          <w:lang w:eastAsia="id-ID"/>
        </w:rPr>
      </w:pPr>
    </w:p>
    <w:p w:rsidR="000F7071" w:rsidRDefault="000F7071" w:rsidP="000F7071">
      <w:pPr>
        <w:pStyle w:val="ListParagraph"/>
        <w:spacing w:line="480" w:lineRule="auto"/>
        <w:jc w:val="both"/>
        <w:rPr>
          <w:rFonts w:ascii="Times New Roman" w:hAnsi="Times New Roman" w:cs="Times New Roman"/>
          <w:sz w:val="24"/>
          <w:lang w:eastAsia="id-ID"/>
        </w:rPr>
      </w:pPr>
    </w:p>
    <w:p w:rsidR="000F7071" w:rsidRDefault="000F7071" w:rsidP="000F7071">
      <w:pPr>
        <w:pStyle w:val="ListParagraph"/>
        <w:spacing w:line="480" w:lineRule="auto"/>
        <w:jc w:val="both"/>
        <w:rPr>
          <w:rFonts w:ascii="Times New Roman" w:hAnsi="Times New Roman" w:cs="Times New Roman"/>
          <w:sz w:val="24"/>
          <w:lang w:eastAsia="id-ID"/>
        </w:rPr>
      </w:pPr>
    </w:p>
    <w:p w:rsidR="000F7071" w:rsidRDefault="00F82A5D" w:rsidP="00F82A5D">
      <w:pPr>
        <w:spacing w:line="480" w:lineRule="auto"/>
        <w:jc w:val="both"/>
        <w:rPr>
          <w:rFonts w:ascii="Times New Roman" w:hAnsi="Times New Roman" w:cs="Times New Roman"/>
          <w:b/>
          <w:sz w:val="24"/>
          <w:lang w:eastAsia="id-ID"/>
        </w:rPr>
      </w:pPr>
      <w:r w:rsidRPr="00F82A5D">
        <w:rPr>
          <w:rFonts w:ascii="Times New Roman" w:hAnsi="Times New Roman" w:cs="Times New Roman"/>
          <w:b/>
          <w:sz w:val="24"/>
          <w:lang w:eastAsia="id-ID"/>
        </w:rPr>
        <w:t>4.2.3.3 Hasil Koefisien Determinasi</w:t>
      </w:r>
    </w:p>
    <w:p w:rsidR="000F7071" w:rsidRPr="000F7071" w:rsidRDefault="000F7071" w:rsidP="000F7071">
      <w:pPr>
        <w:pStyle w:val="Caption"/>
        <w:jc w:val="center"/>
        <w:rPr>
          <w:rFonts w:ascii="Times New Roman" w:hAnsi="Times New Roman" w:cs="Times New Roman"/>
          <w:color w:val="000000" w:themeColor="text1"/>
          <w:sz w:val="24"/>
          <w:szCs w:val="24"/>
          <w:lang w:eastAsia="id-ID"/>
        </w:rPr>
      </w:pPr>
      <w:r w:rsidRPr="000F7071">
        <w:rPr>
          <w:rFonts w:ascii="Times New Roman" w:hAnsi="Times New Roman" w:cs="Times New Roman"/>
          <w:color w:val="000000" w:themeColor="text1"/>
          <w:sz w:val="24"/>
          <w:szCs w:val="24"/>
        </w:rPr>
        <w:t xml:space="preserve">Tabel 4. </w:t>
      </w:r>
      <w:r w:rsidRPr="000F7071">
        <w:rPr>
          <w:rFonts w:ascii="Times New Roman" w:hAnsi="Times New Roman" w:cs="Times New Roman"/>
          <w:color w:val="000000" w:themeColor="text1"/>
          <w:sz w:val="24"/>
          <w:szCs w:val="24"/>
        </w:rPr>
        <w:fldChar w:fldCharType="begin"/>
      </w:r>
      <w:r w:rsidRPr="000F7071">
        <w:rPr>
          <w:rFonts w:ascii="Times New Roman" w:hAnsi="Times New Roman" w:cs="Times New Roman"/>
          <w:color w:val="000000" w:themeColor="text1"/>
          <w:sz w:val="24"/>
          <w:szCs w:val="24"/>
        </w:rPr>
        <w:instrText xml:space="preserve"> SEQ Tabel_4. \* ARABIC </w:instrText>
      </w:r>
      <w:r w:rsidRPr="000F7071">
        <w:rPr>
          <w:rFonts w:ascii="Times New Roman" w:hAnsi="Times New Roman" w:cs="Times New Roman"/>
          <w:color w:val="000000" w:themeColor="text1"/>
          <w:sz w:val="24"/>
          <w:szCs w:val="24"/>
        </w:rPr>
        <w:fldChar w:fldCharType="separate"/>
      </w:r>
      <w:r w:rsidRPr="000F7071">
        <w:rPr>
          <w:rFonts w:ascii="Times New Roman" w:hAnsi="Times New Roman" w:cs="Times New Roman"/>
          <w:noProof/>
          <w:color w:val="000000" w:themeColor="text1"/>
          <w:sz w:val="24"/>
          <w:szCs w:val="24"/>
        </w:rPr>
        <w:t>12</w:t>
      </w:r>
      <w:r w:rsidRPr="000F7071">
        <w:rPr>
          <w:rFonts w:ascii="Times New Roman" w:hAnsi="Times New Roman" w:cs="Times New Roman"/>
          <w:color w:val="000000" w:themeColor="text1"/>
          <w:sz w:val="24"/>
          <w:szCs w:val="24"/>
        </w:rPr>
        <w:fldChar w:fldCharType="end"/>
      </w:r>
      <w:r w:rsidRPr="000F7071">
        <w:rPr>
          <w:rFonts w:ascii="Times New Roman" w:hAnsi="Times New Roman" w:cs="Times New Roman"/>
          <w:color w:val="000000" w:themeColor="text1"/>
          <w:sz w:val="24"/>
          <w:szCs w:val="24"/>
        </w:rPr>
        <w:t xml:space="preserve"> Hasil Koefisien Determinasi</w:t>
      </w:r>
    </w:p>
    <w:p w:rsidR="00F82A5D" w:rsidRDefault="000F7071" w:rsidP="000F7071">
      <w:pPr>
        <w:spacing w:line="480" w:lineRule="auto"/>
        <w:jc w:val="center"/>
        <w:rPr>
          <w:rFonts w:ascii="Times New Roman" w:hAnsi="Times New Roman" w:cs="Times New Roman"/>
          <w:b/>
          <w:sz w:val="24"/>
          <w:lang w:eastAsia="id-ID"/>
        </w:rPr>
      </w:pPr>
      <w:r w:rsidRPr="005009DB">
        <w:rPr>
          <w:noProof/>
          <w:lang w:eastAsia="id-ID"/>
        </w:rPr>
        <w:drawing>
          <wp:inline distT="0" distB="0" distL="0" distR="0" wp14:anchorId="757B2ED0" wp14:editId="11BFE55D">
            <wp:extent cx="2733675" cy="9715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43251" t="3334" r="24970" b="43888"/>
                    <a:stretch/>
                  </pic:blipFill>
                  <pic:spPr bwMode="auto">
                    <a:xfrm>
                      <a:off x="0" y="0"/>
                      <a:ext cx="2736188" cy="9724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F7071" w:rsidRPr="00B35985" w:rsidRDefault="00B35985" w:rsidP="00B35985">
      <w:pPr>
        <w:spacing w:line="480" w:lineRule="auto"/>
        <w:jc w:val="center"/>
        <w:rPr>
          <w:rFonts w:ascii="Times New Roman" w:hAnsi="Times New Roman" w:cs="Times New Roman"/>
          <w:sz w:val="24"/>
          <w:lang w:eastAsia="id-ID"/>
        </w:rPr>
      </w:pPr>
      <w:r w:rsidRPr="00B35985">
        <w:rPr>
          <w:rFonts w:ascii="Times New Roman" w:hAnsi="Times New Roman" w:cs="Times New Roman"/>
          <w:sz w:val="24"/>
          <w:lang w:eastAsia="id-ID"/>
        </w:rPr>
        <w:t>Sumber : Data diolah STATA, 2023</w:t>
      </w:r>
    </w:p>
    <w:p w:rsidR="006C7910" w:rsidRPr="00DB0A9C" w:rsidRDefault="006C7910" w:rsidP="009B1B37">
      <w:pPr>
        <w:spacing w:line="480" w:lineRule="auto"/>
        <w:jc w:val="both"/>
        <w:rPr>
          <w:rFonts w:ascii="Times New Roman" w:hAnsi="Times New Roman" w:cs="Times New Roman"/>
          <w:b/>
          <w:sz w:val="24"/>
          <w:lang w:eastAsia="id-ID"/>
        </w:rPr>
      </w:pPr>
      <w:r w:rsidRPr="00DB0A9C">
        <w:rPr>
          <w:rFonts w:ascii="Times New Roman" w:hAnsi="Times New Roman" w:cs="Times New Roman"/>
          <w:b/>
          <w:sz w:val="24"/>
          <w:lang w:eastAsia="id-ID"/>
        </w:rPr>
        <w:t>4.3</w:t>
      </w:r>
      <w:r w:rsidRPr="00DB0A9C">
        <w:rPr>
          <w:rFonts w:ascii="Times New Roman" w:hAnsi="Times New Roman" w:cs="Times New Roman"/>
          <w:b/>
          <w:sz w:val="24"/>
          <w:lang w:eastAsia="id-ID"/>
        </w:rPr>
        <w:tab/>
        <w:t>Pembahasan</w:t>
      </w:r>
    </w:p>
    <w:p w:rsidR="006C7910" w:rsidRPr="00DB0A9C" w:rsidRDefault="00EB7902"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lang w:eastAsia="id-ID"/>
        </w:rPr>
        <w:t>4.3.1</w:t>
      </w:r>
      <w:r w:rsidRPr="00DB0A9C">
        <w:rPr>
          <w:rFonts w:ascii="Times New Roman" w:hAnsi="Times New Roman" w:cs="Times New Roman"/>
          <w:b/>
          <w:sz w:val="24"/>
          <w:lang w:eastAsia="id-ID"/>
        </w:rPr>
        <w:tab/>
        <w:t xml:space="preserve">Pengaruh </w:t>
      </w:r>
      <w:r w:rsidRPr="008F5DD5">
        <w:rPr>
          <w:rFonts w:ascii="Times New Roman" w:hAnsi="Times New Roman" w:cs="Times New Roman"/>
          <w:b/>
          <w:i/>
          <w:sz w:val="24"/>
          <w:lang w:eastAsia="id-ID"/>
        </w:rPr>
        <w:t>Loan to Deposit Ratio</w:t>
      </w:r>
      <w:r w:rsidRPr="00DB0A9C">
        <w:rPr>
          <w:rFonts w:ascii="Times New Roman" w:hAnsi="Times New Roman" w:cs="Times New Roman"/>
          <w:b/>
          <w:sz w:val="24"/>
          <w:lang w:eastAsia="id-ID"/>
        </w:rPr>
        <w:t xml:space="preserve"> (LDR) Ter</w:t>
      </w:r>
      <w:r w:rsidR="00B90CC1" w:rsidRPr="00DB0A9C">
        <w:rPr>
          <w:rFonts w:ascii="Times New Roman" w:hAnsi="Times New Roman" w:cs="Times New Roman"/>
          <w:b/>
          <w:sz w:val="24"/>
          <w:lang w:eastAsia="id-ID"/>
        </w:rPr>
        <w:t xml:space="preserve">hadap </w:t>
      </w:r>
      <w:r w:rsidR="00B90CC1" w:rsidRPr="008F5DD5">
        <w:rPr>
          <w:rFonts w:ascii="Times New Roman" w:hAnsi="Times New Roman" w:cs="Times New Roman"/>
          <w:b/>
          <w:i/>
          <w:sz w:val="24"/>
          <w:lang w:eastAsia="id-ID"/>
        </w:rPr>
        <w:t>Return On Asset</w:t>
      </w:r>
      <w:r w:rsidR="008F5DD5">
        <w:rPr>
          <w:rFonts w:ascii="Times New Roman" w:hAnsi="Times New Roman" w:cs="Times New Roman"/>
          <w:b/>
          <w:i/>
          <w:sz w:val="24"/>
          <w:lang w:eastAsia="id-ID"/>
        </w:rPr>
        <w:t xml:space="preserve"> </w:t>
      </w:r>
      <w:r w:rsidR="008F5DD5">
        <w:rPr>
          <w:rFonts w:ascii="Times New Roman" w:hAnsi="Times New Roman" w:cs="Times New Roman"/>
          <w:b/>
          <w:sz w:val="24"/>
          <w:lang w:eastAsia="id-ID"/>
        </w:rPr>
        <w:t>(ROA)</w:t>
      </w:r>
      <w:r w:rsidR="00B90CC1" w:rsidRPr="00DB0A9C">
        <w:rPr>
          <w:rFonts w:ascii="Times New Roman" w:hAnsi="Times New Roman" w:cs="Times New Roman"/>
          <w:b/>
          <w:sz w:val="24"/>
          <w:lang w:eastAsia="id-ID"/>
        </w:rPr>
        <w:t xml:space="preserve"> Pada Perusahaan Perbankan yang Terdaftar di Bursa Efek Indonesia (BEI).</w:t>
      </w:r>
    </w:p>
    <w:p w:rsidR="00ED1C0F" w:rsidRDefault="00A863A6" w:rsidP="009B1B37">
      <w:pPr>
        <w:spacing w:line="480" w:lineRule="auto"/>
        <w:jc w:val="both"/>
        <w:rPr>
          <w:rFonts w:ascii="Times New Roman" w:hAnsi="Times New Roman" w:cs="Times New Roman"/>
          <w:sz w:val="24"/>
          <w:szCs w:val="24"/>
        </w:rPr>
      </w:pPr>
      <w:r>
        <w:rPr>
          <w:rFonts w:ascii="Times New Roman" w:hAnsi="Times New Roman" w:cs="Times New Roman"/>
          <w:sz w:val="24"/>
          <w:lang w:eastAsia="id-ID"/>
        </w:rPr>
        <w:tab/>
      </w:r>
      <w:r w:rsidR="00ED1C0F" w:rsidRPr="00B20300">
        <w:rPr>
          <w:rFonts w:ascii="Times New Roman" w:hAnsi="Times New Roman" w:cs="Times New Roman"/>
          <w:sz w:val="24"/>
          <w:szCs w:val="24"/>
        </w:rPr>
        <w:t>Berdasarkan h</w:t>
      </w:r>
      <w:r w:rsidR="008337E2">
        <w:rPr>
          <w:rFonts w:ascii="Times New Roman" w:hAnsi="Times New Roman" w:cs="Times New Roman"/>
          <w:sz w:val="24"/>
          <w:szCs w:val="24"/>
        </w:rPr>
        <w:t xml:space="preserve">asil regresi data panel metode </w:t>
      </w:r>
      <w:r w:rsidR="00ED1C0F" w:rsidRPr="00B20300">
        <w:rPr>
          <w:rFonts w:ascii="Times New Roman" w:hAnsi="Times New Roman" w:cs="Times New Roman"/>
          <w:sz w:val="24"/>
          <w:szCs w:val="24"/>
        </w:rPr>
        <w:t xml:space="preserve">Random Effect Model (REM) dapat dilihat pada tabel  4.10, diketahui bahwa nilai koefisien variabel </w:t>
      </w:r>
      <w:r w:rsidR="00ED1C0F" w:rsidRPr="00B20300">
        <w:rPr>
          <w:rFonts w:ascii="Times New Roman" w:hAnsi="Times New Roman" w:cs="Times New Roman"/>
          <w:i/>
          <w:sz w:val="24"/>
          <w:szCs w:val="24"/>
        </w:rPr>
        <w:t>L</w:t>
      </w:r>
      <w:r w:rsidR="00B20300" w:rsidRPr="00B20300">
        <w:rPr>
          <w:rFonts w:ascii="Times New Roman" w:hAnsi="Times New Roman" w:cs="Times New Roman"/>
          <w:i/>
          <w:sz w:val="24"/>
          <w:szCs w:val="24"/>
        </w:rPr>
        <w:t xml:space="preserve">oan to </w:t>
      </w:r>
      <w:r w:rsidR="00ED1C0F" w:rsidRPr="00B20300">
        <w:rPr>
          <w:rFonts w:ascii="Times New Roman" w:hAnsi="Times New Roman" w:cs="Times New Roman"/>
          <w:i/>
          <w:sz w:val="24"/>
          <w:szCs w:val="24"/>
        </w:rPr>
        <w:t>D</w:t>
      </w:r>
      <w:r w:rsidR="00B20300" w:rsidRPr="00B20300">
        <w:rPr>
          <w:rFonts w:ascii="Times New Roman" w:hAnsi="Times New Roman" w:cs="Times New Roman"/>
          <w:i/>
          <w:sz w:val="24"/>
          <w:szCs w:val="24"/>
        </w:rPr>
        <w:t xml:space="preserve">eposit </w:t>
      </w:r>
      <w:r w:rsidR="00ED1C0F" w:rsidRPr="00B20300">
        <w:rPr>
          <w:rFonts w:ascii="Times New Roman" w:hAnsi="Times New Roman" w:cs="Times New Roman"/>
          <w:i/>
          <w:sz w:val="24"/>
          <w:szCs w:val="24"/>
        </w:rPr>
        <w:t>R</w:t>
      </w:r>
      <w:r w:rsidR="00B20300" w:rsidRPr="00B20300">
        <w:rPr>
          <w:rFonts w:ascii="Times New Roman" w:hAnsi="Times New Roman" w:cs="Times New Roman"/>
          <w:i/>
          <w:sz w:val="24"/>
          <w:szCs w:val="24"/>
        </w:rPr>
        <w:t>atio</w:t>
      </w:r>
      <w:r w:rsidR="00B20300">
        <w:rPr>
          <w:rFonts w:ascii="Times New Roman" w:hAnsi="Times New Roman" w:cs="Times New Roman"/>
          <w:sz w:val="24"/>
          <w:szCs w:val="24"/>
        </w:rPr>
        <w:t xml:space="preserve"> (LDR)</w:t>
      </w:r>
      <w:r w:rsidR="00ED1C0F" w:rsidRPr="00B20300">
        <w:rPr>
          <w:rFonts w:ascii="Times New Roman" w:hAnsi="Times New Roman" w:cs="Times New Roman"/>
          <w:sz w:val="24"/>
          <w:szCs w:val="24"/>
        </w:rPr>
        <w:t xml:space="preserve"> sebesar – 0,0460813, menunjukan bahwa setiap kenaikan variabel </w:t>
      </w:r>
      <w:r w:rsidR="00B20300" w:rsidRPr="00B20300">
        <w:rPr>
          <w:rFonts w:ascii="Times New Roman" w:hAnsi="Times New Roman" w:cs="Times New Roman"/>
          <w:i/>
          <w:sz w:val="24"/>
          <w:szCs w:val="24"/>
        </w:rPr>
        <w:t>Loan to Deposit Ratio</w:t>
      </w:r>
      <w:r w:rsidR="00B20300">
        <w:rPr>
          <w:rFonts w:ascii="Times New Roman" w:hAnsi="Times New Roman" w:cs="Times New Roman"/>
          <w:sz w:val="24"/>
          <w:szCs w:val="24"/>
        </w:rPr>
        <w:t xml:space="preserve"> (LDR)</w:t>
      </w:r>
      <w:r w:rsidR="00B20300" w:rsidRPr="00B20300">
        <w:rPr>
          <w:rFonts w:ascii="Times New Roman" w:hAnsi="Times New Roman" w:cs="Times New Roman"/>
          <w:sz w:val="24"/>
          <w:szCs w:val="24"/>
        </w:rPr>
        <w:t xml:space="preserve"> </w:t>
      </w:r>
      <w:r w:rsidR="00B001DB">
        <w:rPr>
          <w:rFonts w:ascii="Times New Roman" w:hAnsi="Times New Roman" w:cs="Times New Roman"/>
          <w:sz w:val="24"/>
          <w:szCs w:val="24"/>
        </w:rPr>
        <w:t xml:space="preserve"> sebesar 1% maka akan diikuti</w:t>
      </w:r>
      <w:r w:rsidR="00D507E5">
        <w:rPr>
          <w:rFonts w:ascii="Times New Roman" w:hAnsi="Times New Roman" w:cs="Times New Roman"/>
          <w:sz w:val="24"/>
          <w:szCs w:val="24"/>
        </w:rPr>
        <w:t xml:space="preserve"> </w:t>
      </w:r>
      <w:r w:rsidR="00B001DB">
        <w:rPr>
          <w:rFonts w:ascii="Times New Roman" w:hAnsi="Times New Roman" w:cs="Times New Roman"/>
          <w:sz w:val="24"/>
          <w:szCs w:val="24"/>
        </w:rPr>
        <w:t>penurunan</w:t>
      </w:r>
      <w:r w:rsidR="004C1114">
        <w:rPr>
          <w:rFonts w:ascii="Times New Roman" w:hAnsi="Times New Roman" w:cs="Times New Roman"/>
          <w:sz w:val="24"/>
          <w:szCs w:val="24"/>
        </w:rPr>
        <w:t xml:space="preserve"> pada </w:t>
      </w:r>
      <w:r w:rsidR="00D507E5" w:rsidRPr="00D507E5">
        <w:rPr>
          <w:rFonts w:ascii="Times New Roman" w:hAnsi="Times New Roman" w:cs="Times New Roman"/>
          <w:i/>
          <w:sz w:val="24"/>
          <w:szCs w:val="24"/>
        </w:rPr>
        <w:t>Return on Asset</w:t>
      </w:r>
      <w:r w:rsidR="00D507E5">
        <w:rPr>
          <w:rFonts w:ascii="Times New Roman" w:hAnsi="Times New Roman" w:cs="Times New Roman"/>
          <w:sz w:val="24"/>
          <w:szCs w:val="24"/>
        </w:rPr>
        <w:t xml:space="preserve"> (ROA) </w:t>
      </w:r>
      <w:r w:rsidR="00ED1C0F" w:rsidRPr="00B20300">
        <w:rPr>
          <w:rFonts w:ascii="Times New Roman" w:hAnsi="Times New Roman" w:cs="Times New Roman"/>
          <w:sz w:val="24"/>
          <w:szCs w:val="24"/>
        </w:rPr>
        <w:t>sebesar 4,6%.  hal ini berarti variabel X1 berpengaruh negatif terhadap variabel Y. selanjutnya be</w:t>
      </w:r>
      <w:r w:rsidR="008337E2">
        <w:rPr>
          <w:rFonts w:ascii="Times New Roman" w:hAnsi="Times New Roman" w:cs="Times New Roman"/>
          <w:sz w:val="24"/>
          <w:szCs w:val="24"/>
        </w:rPr>
        <w:t>rdasarkan P</w:t>
      </w:r>
      <w:r w:rsidR="00ED1C0F" w:rsidRPr="00B20300">
        <w:rPr>
          <w:rFonts w:ascii="Times New Roman" w:hAnsi="Times New Roman" w:cs="Times New Roman"/>
          <w:sz w:val="24"/>
          <w:szCs w:val="24"/>
        </w:rPr>
        <w:t xml:space="preserve">rob&gt;|z|X1 adalah 0,000 &lt;  0,05, maka H0 ditolak dan H1 diterima yang artinya variabel X1 berpengaruh negatif dan signifikan terhadap variabel Y. </w:t>
      </w:r>
    </w:p>
    <w:p w:rsidR="00825965" w:rsidRPr="00B20300" w:rsidRDefault="00825965" w:rsidP="009B1B3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25965">
        <w:rPr>
          <w:rFonts w:ascii="Times New Roman" w:hAnsi="Times New Roman" w:cs="Times New Roman"/>
          <w:sz w:val="24"/>
          <w:szCs w:val="24"/>
        </w:rPr>
        <w:t>Ha</w:t>
      </w:r>
      <w:r w:rsidR="00244C2A">
        <w:rPr>
          <w:rFonts w:ascii="Times New Roman" w:hAnsi="Times New Roman" w:cs="Times New Roman"/>
          <w:sz w:val="24"/>
          <w:szCs w:val="24"/>
        </w:rPr>
        <w:t>sil penelitian ini menyatakan</w:t>
      </w:r>
      <w:r w:rsidRPr="00825965">
        <w:rPr>
          <w:rFonts w:ascii="Times New Roman" w:hAnsi="Times New Roman" w:cs="Times New Roman"/>
          <w:sz w:val="24"/>
          <w:szCs w:val="24"/>
        </w:rPr>
        <w:t xml:space="preserve"> bahwa adanya pengaruh negatif dari </w:t>
      </w:r>
      <w:r w:rsidRPr="00825965">
        <w:rPr>
          <w:rFonts w:ascii="Times New Roman" w:hAnsi="Times New Roman" w:cs="Times New Roman"/>
          <w:i/>
          <w:sz w:val="24"/>
          <w:szCs w:val="24"/>
        </w:rPr>
        <w:t>Loan to Deposit Ratio</w:t>
      </w:r>
      <w:r>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terhadap </w:t>
      </w:r>
      <w:r w:rsidRPr="00825965">
        <w:rPr>
          <w:rFonts w:ascii="Times New Roman" w:hAnsi="Times New Roman" w:cs="Times New Roman"/>
          <w:i/>
          <w:sz w:val="24"/>
          <w:szCs w:val="24"/>
        </w:rPr>
        <w:t>Return On Asset</w:t>
      </w:r>
      <w:r w:rsidR="00F72AF7">
        <w:rPr>
          <w:rFonts w:ascii="Times New Roman" w:hAnsi="Times New Roman" w:cs="Times New Roman"/>
          <w:i/>
          <w:sz w:val="24"/>
          <w:szCs w:val="24"/>
        </w:rPr>
        <w:t xml:space="preserve"> </w:t>
      </w:r>
      <w:r w:rsidR="00F72AF7">
        <w:rPr>
          <w:rFonts w:ascii="Times New Roman" w:hAnsi="Times New Roman" w:cs="Times New Roman"/>
          <w:sz w:val="24"/>
          <w:szCs w:val="24"/>
        </w:rPr>
        <w:t>(ROA)</w:t>
      </w:r>
      <w:r w:rsidRPr="00825965">
        <w:rPr>
          <w:rFonts w:ascii="Times New Roman" w:hAnsi="Times New Roman" w:cs="Times New Roman"/>
          <w:sz w:val="24"/>
          <w:szCs w:val="24"/>
        </w:rPr>
        <w:t xml:space="preserve">. Artinya, setiap </w:t>
      </w:r>
      <w:r w:rsidRPr="00825965">
        <w:rPr>
          <w:rFonts w:ascii="Times New Roman" w:hAnsi="Times New Roman" w:cs="Times New Roman"/>
          <w:sz w:val="24"/>
          <w:szCs w:val="24"/>
        </w:rPr>
        <w:lastRenderedPageBreak/>
        <w:t xml:space="preserve">peningkatan dalam Loan to Deposit Ratio menyebabkan penurunan Return On Asset, yang menandakan bahwa semakin tinggi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w:t>
      </w:r>
      <w:r w:rsidRPr="00825965">
        <w:rPr>
          <w:rFonts w:ascii="Times New Roman" w:hAnsi="Times New Roman" w:cs="Times New Roman"/>
          <w:sz w:val="24"/>
          <w:szCs w:val="24"/>
        </w:rPr>
        <w:t xml:space="preserve">, kondisi keuangan bank menjadi semakin buruk. Kenaikan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 </w:t>
      </w:r>
      <w:r w:rsidRPr="00825965">
        <w:rPr>
          <w:rFonts w:ascii="Times New Roman" w:hAnsi="Times New Roman" w:cs="Times New Roman"/>
          <w:sz w:val="24"/>
          <w:szCs w:val="24"/>
        </w:rPr>
        <w:t>juga menunjukkan adanya tingkat kredit yang tinggi, namun tidak diimbangi dengan tingkat pengembalian yang memadai (kredit macet), sehingga menyebabkan bank mengalami kerugian</w:t>
      </w:r>
      <w:r>
        <w:rPr>
          <w:rFonts w:ascii="Times New Roman" w:hAnsi="Times New Roman" w:cs="Times New Roman"/>
          <w:sz w:val="24"/>
          <w:szCs w:val="24"/>
        </w:rPr>
        <w:t xml:space="preserve"> atau penurunan profitabilitas</w:t>
      </w:r>
      <w:r w:rsidR="00313AB7">
        <w:rPr>
          <w:rFonts w:ascii="Times New Roman" w:hAnsi="Times New Roman" w:cs="Times New Roman"/>
          <w:sz w:val="24"/>
          <w:szCs w:val="24"/>
        </w:rPr>
        <w:t xml:space="preserve"> </w:t>
      </w:r>
      <w:r w:rsidR="00313AB7">
        <w:rPr>
          <w:rFonts w:ascii="Times New Roman" w:hAnsi="Times New Roman" w:cs="Times New Roman"/>
          <w:sz w:val="24"/>
          <w:szCs w:val="24"/>
        </w:rPr>
        <w:fldChar w:fldCharType="begin" w:fldLock="1"/>
      </w:r>
      <w:r w:rsidR="00313AB7">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Pr>
          <w:rFonts w:ascii="Times New Roman" w:hAnsi="Times New Roman" w:cs="Times New Roman"/>
          <w:sz w:val="24"/>
          <w:szCs w:val="24"/>
        </w:rPr>
        <w:fldChar w:fldCharType="separate"/>
      </w:r>
      <w:r w:rsidR="00313AB7" w:rsidRPr="00313AB7">
        <w:rPr>
          <w:rFonts w:ascii="Times New Roman" w:hAnsi="Times New Roman" w:cs="Times New Roman"/>
          <w:noProof/>
          <w:sz w:val="24"/>
          <w:szCs w:val="24"/>
        </w:rPr>
        <w:t>(Khoirunnisa et al., 2016)</w:t>
      </w:r>
      <w:r w:rsidR="00313AB7">
        <w:rPr>
          <w:rFonts w:ascii="Times New Roman" w:hAnsi="Times New Roman" w:cs="Times New Roman"/>
          <w:sz w:val="24"/>
          <w:szCs w:val="24"/>
        </w:rPr>
        <w:fldChar w:fldCharType="end"/>
      </w:r>
      <w:r w:rsidR="00313AB7">
        <w:rPr>
          <w:rFonts w:ascii="Times New Roman" w:hAnsi="Times New Roman" w:cs="Times New Roman"/>
          <w:sz w:val="24"/>
          <w:szCs w:val="24"/>
        </w:rPr>
        <w:t>.</w:t>
      </w:r>
    </w:p>
    <w:p w:rsidR="00ED1C0F" w:rsidRPr="00B20300" w:rsidRDefault="00ED1C0F" w:rsidP="009B1B37">
      <w:pPr>
        <w:spacing w:line="480" w:lineRule="auto"/>
        <w:ind w:firstLine="720"/>
        <w:jc w:val="both"/>
        <w:rPr>
          <w:rFonts w:ascii="Times New Roman" w:hAnsi="Times New Roman" w:cs="Times New Roman"/>
          <w:sz w:val="24"/>
          <w:szCs w:val="24"/>
        </w:rPr>
      </w:pPr>
      <w:r w:rsidRPr="00B20300">
        <w:rPr>
          <w:rFonts w:ascii="Times New Roman" w:hAnsi="Times New Roman" w:cs="Times New Roman"/>
          <w:sz w:val="24"/>
          <w:szCs w:val="24"/>
        </w:rPr>
        <w:t xml:space="preserve">Hasil Penelitian ini dapat menjawab sub bab 2.10 Hipotesis Penelitian, dimana H1: </w:t>
      </w:r>
      <w:r w:rsidRPr="00B20300">
        <w:rPr>
          <w:rFonts w:ascii="Times New Roman" w:hAnsi="Times New Roman" w:cs="Times New Roman"/>
          <w:i/>
          <w:sz w:val="24"/>
          <w:szCs w:val="24"/>
        </w:rPr>
        <w:t xml:space="preserve">Loan to Deposit Ratio </w:t>
      </w:r>
      <w:r w:rsidRPr="006842EA">
        <w:rPr>
          <w:rFonts w:ascii="Times New Roman" w:hAnsi="Times New Roman" w:cs="Times New Roman"/>
          <w:sz w:val="24"/>
          <w:szCs w:val="24"/>
        </w:rPr>
        <w:t>(LDR)</w:t>
      </w:r>
      <w:r w:rsidRPr="00B20300">
        <w:rPr>
          <w:rFonts w:ascii="Times New Roman" w:hAnsi="Times New Roman" w:cs="Times New Roman"/>
          <w:sz w:val="24"/>
          <w:szCs w:val="24"/>
        </w:rPr>
        <w:t xml:space="preserve"> berpengaruh terhadap </w:t>
      </w:r>
      <w:r w:rsidRPr="00B20300">
        <w:rPr>
          <w:rFonts w:ascii="Times New Roman" w:hAnsi="Times New Roman" w:cs="Times New Roman"/>
          <w:i/>
          <w:sz w:val="24"/>
          <w:szCs w:val="24"/>
        </w:rPr>
        <w:t>Return On Asset (ROA)</w:t>
      </w:r>
      <w:r w:rsidRPr="00B20300">
        <w:rPr>
          <w:rFonts w:ascii="Times New Roman" w:hAnsi="Times New Roman" w:cs="Times New Roman"/>
          <w:sz w:val="24"/>
          <w:szCs w:val="24"/>
        </w:rPr>
        <w:t xml:space="preserve">, maka pada penelitian ini untuk H1 diterima. Dapat disimpulkan bahwa variabel </w:t>
      </w:r>
      <w:r w:rsidR="00D507E5" w:rsidRPr="00B20300">
        <w:rPr>
          <w:rFonts w:ascii="Times New Roman" w:hAnsi="Times New Roman" w:cs="Times New Roman"/>
          <w:i/>
          <w:sz w:val="24"/>
          <w:szCs w:val="24"/>
        </w:rPr>
        <w:t>Loan to Deposit Ratio</w:t>
      </w:r>
      <w:r w:rsidR="00D507E5">
        <w:rPr>
          <w:rFonts w:ascii="Times New Roman" w:hAnsi="Times New Roman" w:cs="Times New Roman"/>
          <w:sz w:val="24"/>
          <w:szCs w:val="24"/>
        </w:rPr>
        <w:t xml:space="preserve"> (LDR)</w:t>
      </w:r>
      <w:r w:rsidR="00D507E5" w:rsidRPr="00B20300">
        <w:rPr>
          <w:rFonts w:ascii="Times New Roman" w:hAnsi="Times New Roman" w:cs="Times New Roman"/>
          <w:sz w:val="24"/>
          <w:szCs w:val="24"/>
        </w:rPr>
        <w:t xml:space="preserve"> </w:t>
      </w:r>
      <w:r w:rsidRPr="00B20300">
        <w:rPr>
          <w:rFonts w:ascii="Times New Roman" w:hAnsi="Times New Roman" w:cs="Times New Roman"/>
          <w:sz w:val="24"/>
          <w:szCs w:val="24"/>
        </w:rPr>
        <w:t xml:space="preserve"> secara parsial memiliki pengaruh negatif dan signifikan terhadap </w:t>
      </w:r>
      <w:r w:rsidR="00E32040" w:rsidRPr="00D507E5">
        <w:rPr>
          <w:rFonts w:ascii="Times New Roman" w:hAnsi="Times New Roman" w:cs="Times New Roman"/>
          <w:i/>
          <w:sz w:val="24"/>
          <w:szCs w:val="24"/>
        </w:rPr>
        <w:t>Return on Asset</w:t>
      </w:r>
      <w:r w:rsidR="00E32040">
        <w:rPr>
          <w:rFonts w:ascii="Times New Roman" w:hAnsi="Times New Roman" w:cs="Times New Roman"/>
          <w:sz w:val="24"/>
          <w:szCs w:val="24"/>
        </w:rPr>
        <w:t xml:space="preserve"> (ROA) </w:t>
      </w:r>
      <w:r w:rsidRPr="00B20300">
        <w:rPr>
          <w:rFonts w:ascii="Times New Roman" w:hAnsi="Times New Roman" w:cs="Times New Roman"/>
          <w:sz w:val="24"/>
          <w:szCs w:val="24"/>
        </w:rPr>
        <w:t>pada perusahaan perbankan yang terdaftar di Bursa Efek Indonesia (BEI)  periode 2018 – 2022.</w:t>
      </w:r>
    </w:p>
    <w:p w:rsidR="00ED1C0F" w:rsidRPr="006221A3" w:rsidRDefault="00ED1C0F" w:rsidP="009B1B37">
      <w:pPr>
        <w:spacing w:line="480" w:lineRule="auto"/>
        <w:ind w:firstLine="720"/>
        <w:jc w:val="both"/>
        <w:rPr>
          <w:rFonts w:ascii="Times New Roman" w:hAnsi="Times New Roman" w:cs="Times New Roman"/>
          <w:sz w:val="24"/>
          <w:szCs w:val="24"/>
        </w:rPr>
      </w:pPr>
      <w:r w:rsidRPr="006221A3">
        <w:rPr>
          <w:rFonts w:ascii="Times New Roman" w:hAnsi="Times New Roman" w:cs="Times New Roman"/>
          <w:sz w:val="24"/>
          <w:szCs w:val="24"/>
        </w:rPr>
        <w:t xml:space="preserve">Hasil penelitian ini tidak sesuai dengan hasil penelitian yang dilakukan oleh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(Rembet &amp; Baramuli,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pacing w:val="-12"/>
          <w:sz w:val="24"/>
          <w:szCs w:val="24"/>
        </w:rPr>
        <w:fldChar w:fldCharType="begin" w:fldLock="1"/>
      </w:r>
      <w:r w:rsidRPr="006221A3">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6221A3">
        <w:rPr>
          <w:rFonts w:ascii="Times New Roman" w:hAnsi="Times New Roman" w:cs="Times New Roman"/>
          <w:spacing w:val="-12"/>
          <w:sz w:val="24"/>
          <w:szCs w:val="24"/>
        </w:rPr>
        <w:fldChar w:fldCharType="separate"/>
      </w:r>
      <w:r w:rsidRPr="006221A3">
        <w:rPr>
          <w:rFonts w:ascii="Times New Roman" w:hAnsi="Times New Roman" w:cs="Times New Roman"/>
          <w:noProof/>
          <w:spacing w:val="-12"/>
          <w:sz w:val="24"/>
          <w:szCs w:val="24"/>
        </w:rPr>
        <w:t>(Irfan et al., 2019)</w:t>
      </w:r>
      <w:r w:rsidRPr="006221A3">
        <w:rPr>
          <w:rFonts w:ascii="Times New Roman" w:hAnsi="Times New Roman" w:cs="Times New Roman"/>
          <w:spacing w:val="-12"/>
          <w:sz w:val="24"/>
          <w:szCs w:val="24"/>
        </w:rPr>
        <w:fldChar w:fldCharType="end"/>
      </w:r>
      <w:r w:rsidRPr="006221A3">
        <w:rPr>
          <w:rFonts w:ascii="Times New Roman" w:hAnsi="Times New Roman" w:cs="Times New Roman"/>
          <w:spacing w:val="-12"/>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 et al., 2021)</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(Setyarini,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(Hidayat et al., 2022)</w:t>
      </w:r>
      <w:r w:rsidRPr="006221A3">
        <w:rPr>
          <w:rFonts w:ascii="Times New Roman" w:hAnsi="Times New Roman" w:cs="Times New Roman"/>
          <w:sz w:val="24"/>
          <w:szCs w:val="24"/>
        </w:rPr>
        <w:fldChar w:fldCharType="end"/>
      </w:r>
      <w:r w:rsidR="006221A3" w:rsidRPr="006221A3">
        <w:rPr>
          <w:rFonts w:ascii="Times New Roman" w:hAnsi="Times New Roman" w:cs="Times New Roman"/>
          <w:sz w:val="24"/>
          <w:szCs w:val="24"/>
        </w:rPr>
        <w:t>, (Rosandy &amp; Sha, 2022)</w:t>
      </w:r>
      <w:r w:rsidRPr="006221A3">
        <w:rPr>
          <w:rFonts w:ascii="Times New Roman" w:hAnsi="Times New Roman" w:cs="Times New Roman"/>
          <w:sz w:val="24"/>
          <w:szCs w:val="24"/>
        </w:rPr>
        <w:t xml:space="preserve"> yang menjelaskan bahwa </w:t>
      </w:r>
      <w:r w:rsidR="00AF35C3" w:rsidRPr="006221A3">
        <w:rPr>
          <w:rFonts w:ascii="Times New Roman" w:hAnsi="Times New Roman" w:cs="Times New Roman"/>
          <w:i/>
          <w:sz w:val="24"/>
          <w:szCs w:val="24"/>
        </w:rPr>
        <w:t>Loan to Deposit Ratio</w:t>
      </w:r>
      <w:r w:rsidR="00AF35C3"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6221A3">
        <w:rPr>
          <w:rFonts w:ascii="Times New Roman" w:hAnsi="Times New Roman" w:cs="Times New Roman"/>
          <w:sz w:val="24"/>
          <w:szCs w:val="24"/>
        </w:rPr>
        <w:t xml:space="preserve"> (</w:t>
      </w:r>
      <w:r w:rsidR="00AF35C3" w:rsidRPr="006221A3">
        <w:rPr>
          <w:rFonts w:ascii="Times New Roman" w:hAnsi="Times New Roman" w:cs="Times New Roman"/>
          <w:sz w:val="24"/>
          <w:szCs w:val="24"/>
        </w:rPr>
        <w:t>Korompis et al, 2020),</w:t>
      </w:r>
      <w:r w:rsidR="00951498">
        <w:rPr>
          <w:rFonts w:ascii="Times New Roman" w:hAnsi="Times New Roman" w:cs="Times New Roman"/>
          <w:sz w:val="24"/>
          <w:szCs w:val="24"/>
        </w:rPr>
        <w:t xml:space="preserve"> </w:t>
      </w:r>
      <w:r w:rsidR="00951498" w:rsidRPr="006221A3">
        <w:rPr>
          <w:rFonts w:ascii="Times New Roman" w:hAnsi="Times New Roman" w:cs="Times New Roman"/>
          <w:sz w:val="24"/>
          <w:szCs w:val="24"/>
        </w:rPr>
        <w:t>(Fasha &amp; Cherudin, 2021)</w:t>
      </w:r>
      <w:r w:rsidR="00951498">
        <w:rPr>
          <w:rFonts w:ascii="Times New Roman" w:hAnsi="Times New Roman" w:cs="Times New Roman"/>
          <w:sz w:val="24"/>
          <w:szCs w:val="24"/>
        </w:rPr>
        <w:t>,</w:t>
      </w:r>
      <w:r w:rsidR="00D6135D">
        <w:rPr>
          <w:rFonts w:ascii="Times New Roman" w:hAnsi="Times New Roman" w:cs="Times New Roman"/>
          <w:sz w:val="24"/>
          <w:szCs w:val="24"/>
        </w:rPr>
        <w:t xml:space="preserve"> (Widyaningsih &amp; Sampurno, </w:t>
      </w:r>
      <w:r w:rsidR="00C05C1D">
        <w:rPr>
          <w:rFonts w:ascii="Times New Roman" w:hAnsi="Times New Roman" w:cs="Times New Roman"/>
          <w:sz w:val="24"/>
          <w:szCs w:val="24"/>
        </w:rPr>
        <w:t xml:space="preserve">2022), (Khoiriyah &amp; Dailibas, 2022), </w:t>
      </w:r>
      <w:r w:rsidR="00AD4599">
        <w:rPr>
          <w:rFonts w:ascii="Times New Roman" w:hAnsi="Times New Roman" w:cs="Times New Roman"/>
          <w:sz w:val="24"/>
          <w:szCs w:val="24"/>
        </w:rPr>
        <w:t xml:space="preserve">(Caesarani &amp; Manda, 2022), </w:t>
      </w:r>
      <w:r w:rsidR="009B1B37">
        <w:rPr>
          <w:rFonts w:ascii="Times New Roman" w:hAnsi="Times New Roman" w:cs="Times New Roman"/>
          <w:sz w:val="24"/>
          <w:szCs w:val="24"/>
        </w:rPr>
        <w:t>(Arthamevia &amp; Husin, 2023)</w:t>
      </w:r>
      <w:r w:rsidR="00951498">
        <w:rPr>
          <w:rFonts w:ascii="Times New Roman" w:hAnsi="Times New Roman" w:cs="Times New Roman"/>
          <w:sz w:val="24"/>
          <w:szCs w:val="24"/>
        </w:rPr>
        <w:t xml:space="preserve"> </w:t>
      </w:r>
      <w:r w:rsidRPr="006221A3">
        <w:rPr>
          <w:rFonts w:ascii="Times New Roman" w:hAnsi="Times New Roman" w:cs="Times New Roman"/>
          <w:sz w:val="24"/>
          <w:szCs w:val="24"/>
        </w:rPr>
        <w:t xml:space="preserve">menunjukan hasil </w:t>
      </w:r>
      <w:r w:rsidRPr="006221A3">
        <w:rPr>
          <w:rFonts w:ascii="Times New Roman" w:hAnsi="Times New Roman" w:cs="Times New Roman"/>
          <w:sz w:val="24"/>
          <w:szCs w:val="24"/>
        </w:rPr>
        <w:lastRenderedPageBreak/>
        <w:t xml:space="preserve">penelitian bahwa </w:t>
      </w:r>
      <w:r w:rsidR="00FE13C4" w:rsidRPr="006221A3">
        <w:rPr>
          <w:rFonts w:ascii="Times New Roman" w:hAnsi="Times New Roman" w:cs="Times New Roman"/>
          <w:i/>
          <w:sz w:val="24"/>
          <w:szCs w:val="24"/>
        </w:rPr>
        <w:t>Loan to Deposit Ratio</w:t>
      </w:r>
      <w:r w:rsidR="00FE13C4"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negatif dan siginifikan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DB0A9C" w:rsidRPr="008F5DD5" w:rsidRDefault="00ED1C0F"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szCs w:val="24"/>
        </w:rPr>
        <w:t>4.3.2</w:t>
      </w:r>
      <w:r w:rsidRPr="00DB0A9C">
        <w:rPr>
          <w:rFonts w:ascii="Times New Roman" w:hAnsi="Times New Roman" w:cs="Times New Roman"/>
          <w:b/>
          <w:sz w:val="24"/>
          <w:szCs w:val="24"/>
        </w:rPr>
        <w:tab/>
        <w:t xml:space="preserve">Pengaruh </w:t>
      </w:r>
      <w:r w:rsidRPr="00DB0A9C">
        <w:rPr>
          <w:rFonts w:ascii="Times New Roman" w:hAnsi="Times New Roman" w:cs="Times New Roman"/>
          <w:b/>
          <w:i/>
          <w:sz w:val="24"/>
          <w:szCs w:val="24"/>
        </w:rPr>
        <w:t>N</w:t>
      </w:r>
      <w:r w:rsidR="00A1711E" w:rsidRPr="00DB0A9C">
        <w:rPr>
          <w:rFonts w:ascii="Times New Roman" w:hAnsi="Times New Roman" w:cs="Times New Roman"/>
          <w:b/>
          <w:i/>
          <w:sz w:val="24"/>
          <w:szCs w:val="24"/>
        </w:rPr>
        <w:t xml:space="preserve">et </w:t>
      </w:r>
      <w:r w:rsidRPr="00DB0A9C">
        <w:rPr>
          <w:rFonts w:ascii="Times New Roman" w:hAnsi="Times New Roman" w:cs="Times New Roman"/>
          <w:b/>
          <w:i/>
          <w:sz w:val="24"/>
          <w:szCs w:val="24"/>
        </w:rPr>
        <w:t>I</w:t>
      </w:r>
      <w:r w:rsidR="00A1711E" w:rsidRPr="00DB0A9C">
        <w:rPr>
          <w:rFonts w:ascii="Times New Roman" w:hAnsi="Times New Roman" w:cs="Times New Roman"/>
          <w:b/>
          <w:i/>
          <w:sz w:val="24"/>
          <w:szCs w:val="24"/>
        </w:rPr>
        <w:t xml:space="preserve">nterest </w:t>
      </w:r>
      <w:r w:rsidRPr="00DB0A9C">
        <w:rPr>
          <w:rFonts w:ascii="Times New Roman" w:hAnsi="Times New Roman" w:cs="Times New Roman"/>
          <w:b/>
          <w:i/>
          <w:sz w:val="24"/>
          <w:szCs w:val="24"/>
        </w:rPr>
        <w:t>M</w:t>
      </w:r>
      <w:r w:rsidR="00A1711E" w:rsidRPr="00DB0A9C">
        <w:rPr>
          <w:rFonts w:ascii="Times New Roman" w:hAnsi="Times New Roman" w:cs="Times New Roman"/>
          <w:b/>
          <w:i/>
          <w:sz w:val="24"/>
          <w:szCs w:val="24"/>
        </w:rPr>
        <w:t>argin</w:t>
      </w:r>
      <w:r w:rsidR="00A1711E" w:rsidRPr="00DB0A9C">
        <w:rPr>
          <w:rFonts w:ascii="Times New Roman" w:hAnsi="Times New Roman" w:cs="Times New Roman"/>
          <w:b/>
          <w:sz w:val="24"/>
          <w:szCs w:val="24"/>
        </w:rPr>
        <w:t xml:space="preserve"> (NIM)</w:t>
      </w:r>
      <w:r w:rsidRPr="00DB0A9C">
        <w:rPr>
          <w:rFonts w:ascii="Times New Roman" w:hAnsi="Times New Roman" w:cs="Times New Roman"/>
          <w:b/>
          <w:sz w:val="24"/>
          <w:szCs w:val="24"/>
        </w:rPr>
        <w:t xml:space="preserve"> Terhadap </w:t>
      </w:r>
      <w:r w:rsidR="00E17176" w:rsidRPr="00DB0A9C">
        <w:rPr>
          <w:rFonts w:ascii="Times New Roman" w:hAnsi="Times New Roman" w:cs="Times New Roman"/>
          <w:b/>
          <w:i/>
          <w:sz w:val="24"/>
          <w:szCs w:val="24"/>
        </w:rPr>
        <w:t>Return on Asset</w:t>
      </w:r>
      <w:r w:rsidR="00E17176" w:rsidRPr="00DB0A9C">
        <w:rPr>
          <w:rFonts w:ascii="Times New Roman" w:hAnsi="Times New Roman" w:cs="Times New Roman"/>
          <w:b/>
          <w:sz w:val="24"/>
          <w:szCs w:val="24"/>
        </w:rPr>
        <w:t xml:space="preserve"> (ROA) </w:t>
      </w:r>
      <w:r w:rsidRPr="00DB0A9C">
        <w:rPr>
          <w:rFonts w:ascii="Times New Roman" w:hAnsi="Times New Roman" w:cs="Times New Roman"/>
          <w:b/>
          <w:sz w:val="24"/>
          <w:szCs w:val="24"/>
        </w:rPr>
        <w:t xml:space="preserve">Pada Perusahaan </w:t>
      </w:r>
      <w:r w:rsidR="008F5DD5">
        <w:rPr>
          <w:rFonts w:ascii="Times New Roman" w:hAnsi="Times New Roman" w:cs="Times New Roman"/>
          <w:b/>
          <w:sz w:val="24"/>
          <w:szCs w:val="24"/>
        </w:rPr>
        <w:t xml:space="preserve">Perbankan </w:t>
      </w:r>
      <w:r w:rsidRPr="00DB0A9C">
        <w:rPr>
          <w:rFonts w:ascii="Times New Roman" w:hAnsi="Times New Roman" w:cs="Times New Roman"/>
          <w:b/>
          <w:sz w:val="24"/>
          <w:szCs w:val="24"/>
        </w:rPr>
        <w:t xml:space="preserve">Yang Terdaftar Di </w:t>
      </w:r>
      <w:r w:rsidR="008F5DD5" w:rsidRPr="00DB0A9C">
        <w:rPr>
          <w:rFonts w:ascii="Times New Roman" w:hAnsi="Times New Roman" w:cs="Times New Roman"/>
          <w:b/>
          <w:sz w:val="24"/>
          <w:lang w:eastAsia="id-ID"/>
        </w:rPr>
        <w:t>Bursa Efek Indonesia (BEI).</w:t>
      </w:r>
    </w:p>
    <w:p w:rsidR="00ED1C0F"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Berdasarkan h</w:t>
      </w:r>
      <w:r w:rsidR="004E2481">
        <w:rPr>
          <w:rFonts w:ascii="Times New Roman" w:hAnsi="Times New Roman" w:cs="Times New Roman"/>
          <w:sz w:val="24"/>
          <w:szCs w:val="24"/>
        </w:rPr>
        <w:t xml:space="preserve">asil regresi data panel metode </w:t>
      </w:r>
      <w:r w:rsidRPr="006221A3">
        <w:rPr>
          <w:rFonts w:ascii="Times New Roman" w:hAnsi="Times New Roman" w:cs="Times New Roman"/>
          <w:sz w:val="24"/>
          <w:szCs w:val="24"/>
        </w:rPr>
        <w:t xml:space="preserve">Random Effect Model (REM) dapat dilihat pada tabel 4.10, diketahui bahwa nilai koefisien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0.319445 menunjukan bahwa setiap kenaikan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1% maka </w:t>
      </w:r>
      <w:r w:rsidR="0079323E">
        <w:rPr>
          <w:rFonts w:ascii="Times New Roman" w:hAnsi="Times New Roman" w:cs="Times New Roman"/>
          <w:sz w:val="24"/>
          <w:szCs w:val="24"/>
        </w:rPr>
        <w:t>akan diikuti</w:t>
      </w:r>
      <w:r w:rsidRPr="006221A3">
        <w:rPr>
          <w:rFonts w:ascii="Times New Roman" w:hAnsi="Times New Roman" w:cs="Times New Roman"/>
          <w:sz w:val="24"/>
          <w:szCs w:val="24"/>
        </w:rPr>
        <w:t xml:space="preserve"> </w:t>
      </w:r>
      <w:r w:rsidR="004C1114">
        <w:rPr>
          <w:rFonts w:ascii="Times New Roman" w:hAnsi="Times New Roman" w:cs="Times New Roman"/>
          <w:sz w:val="24"/>
          <w:szCs w:val="24"/>
        </w:rPr>
        <w:t xml:space="preserve">kenaikan pada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sebesar 31,9% hal ini berarti X2 berpengaruh</w:t>
      </w:r>
      <w:r w:rsidR="004C1114">
        <w:rPr>
          <w:rFonts w:ascii="Times New Roman" w:hAnsi="Times New Roman" w:cs="Times New Roman"/>
          <w:sz w:val="24"/>
          <w:szCs w:val="24"/>
        </w:rPr>
        <w:t xml:space="preserve"> positif terhadap variabel </w:t>
      </w:r>
      <w:r w:rsidR="00EA6571">
        <w:rPr>
          <w:rFonts w:ascii="Times New Roman" w:hAnsi="Times New Roman" w:cs="Times New Roman"/>
          <w:sz w:val="24"/>
          <w:szCs w:val="24"/>
        </w:rPr>
        <w:t>Y. S</w:t>
      </w:r>
      <w:r w:rsidR="004E2481">
        <w:rPr>
          <w:rFonts w:ascii="Times New Roman" w:hAnsi="Times New Roman" w:cs="Times New Roman"/>
          <w:sz w:val="24"/>
          <w:szCs w:val="24"/>
        </w:rPr>
        <w:t>elanjutnya berdasarkan nilai P</w:t>
      </w:r>
      <w:r w:rsidRPr="006221A3">
        <w:rPr>
          <w:rFonts w:ascii="Times New Roman" w:hAnsi="Times New Roman" w:cs="Times New Roman"/>
          <w:sz w:val="24"/>
          <w:szCs w:val="24"/>
        </w:rPr>
        <w:t>rob&gt;|z|</w:t>
      </w:r>
      <w:r w:rsidR="00EA6571">
        <w:rPr>
          <w:rFonts w:ascii="Times New Roman" w:hAnsi="Times New Roman" w:cs="Times New Roman"/>
          <w:sz w:val="24"/>
          <w:szCs w:val="24"/>
        </w:rPr>
        <w:t>X2 adalah  0.005 &lt; 0.05, maka H0</w:t>
      </w:r>
      <w:r w:rsidRPr="006221A3">
        <w:rPr>
          <w:rFonts w:ascii="Times New Roman" w:hAnsi="Times New Roman" w:cs="Times New Roman"/>
          <w:sz w:val="24"/>
          <w:szCs w:val="24"/>
        </w:rPr>
        <w:t xml:space="preserve"> ditolak, dan H1 diterima. Yang artinya variabel X2 berpengaruh </w:t>
      </w:r>
      <w:r w:rsidR="00EA6571">
        <w:rPr>
          <w:rFonts w:ascii="Times New Roman" w:hAnsi="Times New Roman" w:cs="Times New Roman"/>
          <w:sz w:val="24"/>
          <w:szCs w:val="24"/>
        </w:rPr>
        <w:t xml:space="preserve">positif dan </w:t>
      </w:r>
      <w:r w:rsidRPr="006221A3">
        <w:rPr>
          <w:rFonts w:ascii="Times New Roman" w:hAnsi="Times New Roman" w:cs="Times New Roman"/>
          <w:sz w:val="24"/>
          <w:szCs w:val="24"/>
        </w:rPr>
        <w:t xml:space="preserve">signifikan terhadap variabel Y. </w:t>
      </w:r>
    </w:p>
    <w:p w:rsidR="00244C2A" w:rsidRPr="006221A3" w:rsidRDefault="00244C2A" w:rsidP="009B1B37">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Hasil p</w:t>
      </w:r>
      <w:r w:rsidRPr="00244C2A">
        <w:rPr>
          <w:rFonts w:ascii="Times New Roman" w:hAnsi="Times New Roman" w:cs="Times New Roman"/>
          <w:sz w:val="24"/>
          <w:szCs w:val="24"/>
        </w:rPr>
        <w:t>enelitian</w:t>
      </w:r>
      <w:r>
        <w:rPr>
          <w:rFonts w:ascii="Times New Roman" w:hAnsi="Times New Roman" w:cs="Times New Roman"/>
          <w:sz w:val="24"/>
          <w:szCs w:val="24"/>
        </w:rPr>
        <w:t xml:space="preserve"> ini menyimpulkan bahwa adanya</w:t>
      </w:r>
      <w:r w:rsidRPr="00244C2A">
        <w:rPr>
          <w:rFonts w:ascii="Times New Roman" w:hAnsi="Times New Roman" w:cs="Times New Roman"/>
          <w:sz w:val="24"/>
          <w:szCs w:val="24"/>
        </w:rPr>
        <w:t xml:space="preserve"> pengaruh positif dan signifikan dari </w:t>
      </w:r>
      <w:r w:rsidRPr="00DD15F0">
        <w:rPr>
          <w:rFonts w:ascii="Times New Roman" w:hAnsi="Times New Roman" w:cs="Times New Roman"/>
          <w:i/>
          <w:sz w:val="24"/>
          <w:szCs w:val="24"/>
        </w:rPr>
        <w:t xml:space="preserve">Net Interest Margin </w:t>
      </w:r>
      <w:r w:rsidRPr="00194034">
        <w:rPr>
          <w:rFonts w:ascii="Times New Roman" w:hAnsi="Times New Roman" w:cs="Times New Roman"/>
          <w:sz w:val="24"/>
          <w:szCs w:val="24"/>
        </w:rPr>
        <w:t>(NIM)</w:t>
      </w:r>
      <w:r w:rsidRPr="00244C2A">
        <w:rPr>
          <w:rFonts w:ascii="Times New Roman" w:hAnsi="Times New Roman" w:cs="Times New Roman"/>
          <w:sz w:val="24"/>
          <w:szCs w:val="24"/>
        </w:rPr>
        <w:t xml:space="preserve"> terhadap </w:t>
      </w:r>
      <w:r w:rsidRPr="00DD15F0">
        <w:rPr>
          <w:rFonts w:ascii="Times New Roman" w:hAnsi="Times New Roman" w:cs="Times New Roman"/>
          <w:i/>
          <w:sz w:val="24"/>
          <w:szCs w:val="24"/>
        </w:rPr>
        <w:t xml:space="preserve">Return On Asset </w:t>
      </w:r>
      <w:r w:rsidRPr="00194034">
        <w:rPr>
          <w:rFonts w:ascii="Times New Roman" w:hAnsi="Times New Roman" w:cs="Times New Roman"/>
          <w:sz w:val="24"/>
          <w:szCs w:val="24"/>
        </w:rPr>
        <w:t>(ROA)</w:t>
      </w:r>
      <w:r w:rsidR="00DD15F0" w:rsidRPr="00194034">
        <w:rPr>
          <w:rFonts w:ascii="Times New Roman" w:hAnsi="Times New Roman" w:cs="Times New Roman"/>
          <w:sz w:val="24"/>
          <w:szCs w:val="24"/>
        </w:rPr>
        <w:t>.</w:t>
      </w:r>
      <w:r w:rsidR="00DD15F0">
        <w:rPr>
          <w:rFonts w:ascii="Times New Roman" w:hAnsi="Times New Roman" w:cs="Times New Roman"/>
          <w:sz w:val="24"/>
          <w:szCs w:val="24"/>
        </w:rPr>
        <w:t xml:space="preserve"> </w:t>
      </w:r>
      <w:r w:rsidRPr="00244C2A">
        <w:rPr>
          <w:rFonts w:ascii="Times New Roman" w:hAnsi="Times New Roman" w:cs="Times New Roman"/>
          <w:sz w:val="24"/>
          <w:szCs w:val="24"/>
        </w:rPr>
        <w:t xml:space="preserve">Hasil penelitian menunjukkan bahwa semakin tinggi nilai </w:t>
      </w:r>
      <w:r w:rsidR="00DD15F0" w:rsidRPr="00DD15F0">
        <w:rPr>
          <w:rFonts w:ascii="Times New Roman" w:hAnsi="Times New Roman" w:cs="Times New Roman"/>
          <w:i/>
          <w:sz w:val="24"/>
          <w:szCs w:val="24"/>
        </w:rPr>
        <w:t xml:space="preserve">Net Interest Margin </w:t>
      </w:r>
      <w:r w:rsidR="00DD15F0" w:rsidRPr="00194034">
        <w:rPr>
          <w:rFonts w:ascii="Times New Roman" w:hAnsi="Times New Roman" w:cs="Times New Roman"/>
          <w:sz w:val="24"/>
          <w:szCs w:val="24"/>
        </w:rPr>
        <w:t>(NIM)</w:t>
      </w:r>
      <w:r w:rsidRPr="00194034">
        <w:rPr>
          <w:rFonts w:ascii="Times New Roman" w:hAnsi="Times New Roman" w:cs="Times New Roman"/>
          <w:sz w:val="24"/>
          <w:szCs w:val="24"/>
        </w:rPr>
        <w:t>,</w:t>
      </w:r>
      <w:r w:rsidRPr="00244C2A">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Pr>
          <w:rFonts w:ascii="Times New Roman" w:hAnsi="Times New Roman" w:cs="Times New Roman"/>
          <w:i/>
          <w:sz w:val="24"/>
          <w:szCs w:val="24"/>
        </w:rPr>
        <w:t xml:space="preserve">Return On Asset </w:t>
      </w:r>
      <w:r w:rsidR="00194034" w:rsidRPr="00194034">
        <w:rPr>
          <w:rFonts w:ascii="Times New Roman" w:hAnsi="Times New Roman" w:cs="Times New Roman"/>
          <w:sz w:val="24"/>
          <w:szCs w:val="24"/>
        </w:rPr>
        <w:t>(ROA)</w:t>
      </w:r>
      <w:r w:rsidR="00194034">
        <w:rPr>
          <w:rFonts w:ascii="Times New Roman" w:hAnsi="Times New Roman" w:cs="Times New Roman"/>
          <w:sz w:val="24"/>
          <w:szCs w:val="24"/>
        </w:rPr>
        <w:t xml:space="preserve"> </w:t>
      </w:r>
      <w:r w:rsidRPr="00244C2A">
        <w:rPr>
          <w:rFonts w:ascii="Times New Roman" w:hAnsi="Times New Roman" w:cs="Times New Roman"/>
          <w:sz w:val="24"/>
          <w:szCs w:val="24"/>
        </w:rPr>
        <w:t xml:space="preserve">pada bank konvensional juga akan meningkat.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00DD15F0" w:rsidRPr="00244C2A">
        <w:rPr>
          <w:rFonts w:ascii="Times New Roman" w:hAnsi="Times New Roman" w:cs="Times New Roman"/>
          <w:sz w:val="24"/>
          <w:szCs w:val="24"/>
        </w:rPr>
        <w:t xml:space="preserve"> </w:t>
      </w:r>
      <w:r w:rsidRPr="00244C2A">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DD15F0">
        <w:rPr>
          <w:rFonts w:ascii="Times New Roman" w:hAnsi="Times New Roman" w:cs="Times New Roman"/>
          <w:i/>
          <w:sz w:val="24"/>
          <w:szCs w:val="24"/>
        </w:rPr>
        <w:t xml:space="preserve">Net </w:t>
      </w:r>
      <w:r w:rsidR="00DD15F0" w:rsidRPr="00DD15F0">
        <w:rPr>
          <w:rFonts w:ascii="Times New Roman" w:hAnsi="Times New Roman" w:cs="Times New Roman"/>
          <w:i/>
          <w:sz w:val="24"/>
          <w:szCs w:val="24"/>
        </w:rPr>
        <w:lastRenderedPageBreak/>
        <w:t xml:space="preserve">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DD15F0">
        <w:rPr>
          <w:rFonts w:ascii="Times New Roman" w:hAnsi="Times New Roman" w:cs="Times New Roman"/>
          <w:i/>
          <w:sz w:val="24"/>
          <w:szCs w:val="24"/>
        </w:rPr>
        <w:t>Net Interest Margin (</w:t>
      </w:r>
      <w:r w:rsidR="001A3309">
        <w:rPr>
          <w:rFonts w:ascii="Times New Roman" w:hAnsi="Times New Roman" w:cs="Times New Roman"/>
          <w:sz w:val="24"/>
          <w:szCs w:val="24"/>
        </w:rPr>
        <w:t>NIM)</w:t>
      </w:r>
      <w:r w:rsidRPr="001A3309">
        <w:rPr>
          <w:rFonts w:ascii="Times New Roman" w:hAnsi="Times New Roman" w:cs="Times New Roman"/>
          <w:sz w:val="24"/>
          <w:szCs w:val="24"/>
        </w:rPr>
        <w:t xml:space="preserve"> </w:t>
      </w:r>
      <w:r w:rsidRPr="00244C2A">
        <w:rPr>
          <w:rFonts w:ascii="Times New Roman" w:hAnsi="Times New Roman" w:cs="Times New Roman"/>
          <w:sz w:val="24"/>
          <w:szCs w:val="24"/>
        </w:rPr>
        <w:t xml:space="preserve">terhadap </w:t>
      </w:r>
      <w:r w:rsidR="001A3309">
        <w:rPr>
          <w:rFonts w:ascii="Times New Roman" w:hAnsi="Times New Roman" w:cs="Times New Roman"/>
          <w:i/>
          <w:sz w:val="24"/>
          <w:szCs w:val="24"/>
        </w:rPr>
        <w:t xml:space="preserve">Return On Asset </w:t>
      </w:r>
      <w:r w:rsidR="001A3309" w:rsidRPr="001A3309">
        <w:rPr>
          <w:rFonts w:ascii="Times New Roman" w:hAnsi="Times New Roman" w:cs="Times New Roman"/>
          <w:sz w:val="24"/>
          <w:szCs w:val="24"/>
        </w:rPr>
        <w:t>(ROA)</w:t>
      </w:r>
      <w:r w:rsidRPr="00244C2A">
        <w:rPr>
          <w:rFonts w:ascii="Times New Roman" w:hAnsi="Times New Roman" w:cs="Times New Roman"/>
          <w:sz w:val="24"/>
          <w:szCs w:val="24"/>
        </w:rPr>
        <w:t xml:space="preserve"> disebabkan oleh peran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sebagai indikator rentabilitas dan rasio keuangan yang mengukur kemampuan manajemen bank dalam mengelola aktiva untuk menghasilkan pendapatan bunga bersih. Semakin tinggi rasio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yang efisien bagi </w:t>
      </w:r>
      <w:r w:rsidR="00DD15F0">
        <w:rPr>
          <w:rFonts w:ascii="Times New Roman" w:hAnsi="Times New Roman" w:cs="Times New Roman"/>
          <w:sz w:val="24"/>
          <w:szCs w:val="24"/>
        </w:rPr>
        <w:t>perusahaan perbankan</w:t>
      </w:r>
      <w:r w:rsidRPr="00244C2A">
        <w:rPr>
          <w:rFonts w:ascii="Times New Roman" w:hAnsi="Times New Roman" w:cs="Times New Roman"/>
          <w:sz w:val="24"/>
          <w:szCs w:val="24"/>
        </w:rPr>
        <w:t xml:space="preserve"> guna mencapai tingkat profitabilitas yang lebih baik dan mampu menghadapi perubah</w:t>
      </w:r>
      <w:r w:rsidR="00313AB7">
        <w:rPr>
          <w:rFonts w:ascii="Times New Roman" w:hAnsi="Times New Roman" w:cs="Times New Roman"/>
          <w:sz w:val="24"/>
          <w:szCs w:val="24"/>
        </w:rPr>
        <w:t xml:space="preserve">an suku bunga dengan lebih baik </w:t>
      </w:r>
      <w:r w:rsidR="00313AB7">
        <w:rPr>
          <w:rFonts w:ascii="Times New Roman" w:hAnsi="Times New Roman" w:cs="Times New Roman"/>
          <w:sz w:val="24"/>
          <w:szCs w:val="24"/>
        </w:rPr>
        <w:fldChar w:fldCharType="begin" w:fldLock="1"/>
      </w:r>
      <w:r w:rsidR="00313AB7">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2022)"},"properties":{"noteIndex":0},"schema":"https://github.com/citation-style-language/schema/raw/master/csl-citation.json"}</w:instrText>
      </w:r>
      <w:r w:rsidR="00313AB7">
        <w:rPr>
          <w:rFonts w:ascii="Times New Roman" w:hAnsi="Times New Roman" w:cs="Times New Roman"/>
          <w:sz w:val="24"/>
          <w:szCs w:val="24"/>
        </w:rPr>
        <w:fldChar w:fldCharType="separate"/>
      </w:r>
      <w:r w:rsidR="00313AB7" w:rsidRPr="00313AB7">
        <w:rPr>
          <w:rFonts w:ascii="Times New Roman" w:hAnsi="Times New Roman" w:cs="Times New Roman"/>
          <w:noProof/>
          <w:sz w:val="24"/>
          <w:szCs w:val="24"/>
        </w:rPr>
        <w:t>(Septiyani et al., 2022)</w:t>
      </w:r>
      <w:r w:rsidR="00313AB7">
        <w:rPr>
          <w:rFonts w:ascii="Times New Roman" w:hAnsi="Times New Roman" w:cs="Times New Roman"/>
          <w:sz w:val="24"/>
          <w:szCs w:val="24"/>
        </w:rPr>
        <w:fldChar w:fldCharType="end"/>
      </w:r>
      <w:r w:rsidR="00313AB7">
        <w:rPr>
          <w:rFonts w:ascii="Times New Roman" w:hAnsi="Times New Roman" w:cs="Times New Roman"/>
          <w:sz w:val="24"/>
          <w:szCs w:val="24"/>
        </w:rPr>
        <w:t>.</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dapat menjawab sub bab 2.10 Hi</w:t>
      </w:r>
      <w:r w:rsidR="00FA7266">
        <w:rPr>
          <w:rFonts w:ascii="Times New Roman" w:hAnsi="Times New Roman" w:cs="Times New Roman"/>
          <w:sz w:val="24"/>
          <w:szCs w:val="24"/>
        </w:rPr>
        <w:t xml:space="preserve">potesis Penelitian, dimana H2: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berpengaruh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maka pada penelitian ini untuk H1 diterima. Dapat disimpulkan bahwa variabel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secara parsial memiliki pengaruh positif dan signifikan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pada perusahaan perbankan yang terdaftar di Bursa Efek Indonesia (BEI)  periode 2018 – 2022.</w:t>
      </w:r>
    </w:p>
    <w:p w:rsidR="00173A58" w:rsidRDefault="00ED1C0F" w:rsidP="00965CED">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tidak sesuai dengan hasil penelitian yang dilakukan oleh</w:t>
      </w:r>
      <w:r w:rsidR="000A2E25">
        <w:rPr>
          <w:rFonts w:ascii="Times New Roman" w:hAnsi="Times New Roman" w:cs="Times New Roman"/>
          <w:sz w:val="24"/>
          <w:szCs w:val="24"/>
        </w:rPr>
        <w:t xml:space="preserve"> </w:t>
      </w:r>
      <w:r w:rsidR="0005467B">
        <w:rPr>
          <w:rFonts w:ascii="Times New Roman" w:hAnsi="Times New Roman" w:cs="Times New Roman"/>
          <w:sz w:val="24"/>
          <w:szCs w:val="24"/>
        </w:rPr>
        <w:t>(</w:t>
      </w:r>
      <w:r w:rsidR="00250200">
        <w:rPr>
          <w:rFonts w:ascii="Times New Roman" w:hAnsi="Times New Roman" w:cs="Times New Roman"/>
          <w:sz w:val="24"/>
          <w:szCs w:val="24"/>
        </w:rPr>
        <w:t>Harun, 2016), (Hidayat et al., 2022), (</w:t>
      </w:r>
      <w:r w:rsidR="007A4991">
        <w:rPr>
          <w:rFonts w:ascii="Times New Roman" w:hAnsi="Times New Roman" w:cs="Times New Roman"/>
          <w:sz w:val="24"/>
          <w:szCs w:val="24"/>
        </w:rPr>
        <w:t xml:space="preserve">Anggraeni &amp; Citarayani, 2022), </w:t>
      </w:r>
      <w:r w:rsidR="00654E08">
        <w:rPr>
          <w:rFonts w:ascii="Times New Roman" w:hAnsi="Times New Roman" w:cs="Times New Roman"/>
          <w:sz w:val="24"/>
          <w:szCs w:val="24"/>
        </w:rPr>
        <w:t>(Purnasari et al., 2023), (Pardede &amp; Pangestuti, 2016)</w:t>
      </w:r>
      <w:r w:rsidRPr="006221A3">
        <w:rPr>
          <w:rFonts w:ascii="Times New Roman" w:hAnsi="Times New Roman" w:cs="Times New Roman"/>
          <w:sz w:val="24"/>
          <w:szCs w:val="24"/>
        </w:rPr>
        <w:t xml:space="preserve"> yang menjelaskan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 memiliki pengaruh negatif</w:t>
      </w:r>
      <w:r w:rsidRPr="006221A3">
        <w:rPr>
          <w:rFonts w:ascii="Times New Roman" w:hAnsi="Times New Roman" w:cs="Times New Roman"/>
          <w:sz w:val="24"/>
          <w:szCs w:val="24"/>
        </w:rPr>
        <w:t xml:space="preserve"> dan </w:t>
      </w:r>
      <w:r w:rsidR="00817D72">
        <w:rPr>
          <w:rFonts w:ascii="Times New Roman" w:hAnsi="Times New Roman" w:cs="Times New Roman"/>
          <w:sz w:val="24"/>
          <w:szCs w:val="24"/>
        </w:rPr>
        <w:t xml:space="preserve">tidak </w:t>
      </w:r>
      <w:r w:rsidRPr="006221A3">
        <w:rPr>
          <w:rFonts w:ascii="Times New Roman" w:hAnsi="Times New Roman" w:cs="Times New Roman"/>
          <w:sz w:val="24"/>
          <w:szCs w:val="24"/>
        </w:rPr>
        <w:t xml:space="preserve">signifikan </w:t>
      </w:r>
      <w:r w:rsidRPr="006221A3">
        <w:rPr>
          <w:rFonts w:ascii="Times New Roman" w:hAnsi="Times New Roman" w:cs="Times New Roman"/>
          <w:sz w:val="24"/>
          <w:szCs w:val="24"/>
        </w:rPr>
        <w:lastRenderedPageBreak/>
        <w:t xml:space="preserve">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 Namun hasil penelitian ini sejalan dengan penelitian sebelumnya yang dilakukan oleh</w:t>
      </w:r>
      <w:r w:rsidR="0069004A" w:rsidRPr="006221A3">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(Andiansyah, 2020)</w:t>
      </w:r>
      <w:r w:rsidR="0069004A" w:rsidRPr="00A1711E">
        <w:rPr>
          <w:rFonts w:ascii="Times New Roman" w:hAnsi="Times New Roman" w:cs="Times New Roman"/>
          <w:sz w:val="24"/>
          <w:szCs w:val="24"/>
        </w:rPr>
        <w:fldChar w:fldCharType="end"/>
      </w:r>
      <w:r w:rsidRPr="00A1711E">
        <w:rPr>
          <w:rFonts w:ascii="Times New Roman" w:hAnsi="Times New Roman" w:cs="Times New Roman"/>
          <w:sz w:val="24"/>
          <w:szCs w:val="24"/>
        </w:rPr>
        <w:t>,</w:t>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(Debora, 2020)</w:t>
      </w:r>
      <w:r w:rsidR="0069004A" w:rsidRPr="00A1711E">
        <w:rPr>
          <w:rFonts w:ascii="Times New Roman" w:hAnsi="Times New Roman" w:cs="Times New Roman"/>
          <w:sz w:val="24"/>
          <w:szCs w:val="24"/>
        </w:rPr>
        <w:fldChar w:fldCharType="end"/>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(Indrawan &amp; Kaniawati Dewi, 2020)</w:t>
      </w:r>
      <w:r w:rsidR="0069004A" w:rsidRPr="00A1711E">
        <w:rPr>
          <w:rFonts w:ascii="Times New Roman" w:hAnsi="Times New Roman" w:cs="Times New Roman"/>
          <w:sz w:val="24"/>
          <w:szCs w:val="24"/>
        </w:rPr>
        <w:fldChar w:fldCharType="end"/>
      </w:r>
      <w:r w:rsidR="0069004A" w:rsidRPr="006221A3">
        <w:rPr>
          <w:rFonts w:ascii="Times New Roman" w:hAnsi="Times New Roman" w:cs="Times New Roman"/>
          <w:sz w:val="24"/>
          <w:szCs w:val="24"/>
        </w:rPr>
        <w:t>,</w:t>
      </w:r>
      <w:r w:rsidR="00B311EC" w:rsidRPr="006221A3">
        <w:rPr>
          <w:rFonts w:ascii="Times New Roman" w:hAnsi="Times New Roman" w:cs="Times New Roman"/>
          <w:sz w:val="24"/>
          <w:szCs w:val="24"/>
        </w:rPr>
        <w:t xml:space="preserve"> (Setyaningsih et al., 2023), </w:t>
      </w:r>
      <w:r w:rsidR="005047A2" w:rsidRPr="006221A3">
        <w:rPr>
          <w:rFonts w:ascii="Times New Roman" w:hAnsi="Times New Roman" w:cs="Times New Roman"/>
          <w:sz w:val="24"/>
          <w:szCs w:val="24"/>
        </w:rPr>
        <w:t>(Rosandy &amp; Sha, 2022)</w:t>
      </w:r>
      <w:r w:rsidR="00EE4D70" w:rsidRPr="006221A3">
        <w:rPr>
          <w:rFonts w:ascii="Times New Roman" w:hAnsi="Times New Roman" w:cs="Times New Roman"/>
          <w:sz w:val="24"/>
          <w:szCs w:val="24"/>
        </w:rPr>
        <w:t>, (Septiyani et al., 2022), (Fasha &amp; Cherudin, 2021)</w:t>
      </w:r>
      <w:r w:rsidR="0069004A"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yang menunjukan hasil penelitian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1373DB"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w:t>
      </w:r>
      <w:r w:rsidR="0069004A" w:rsidRPr="006221A3">
        <w:rPr>
          <w:rFonts w:ascii="Times New Roman" w:hAnsi="Times New Roman" w:cs="Times New Roman"/>
          <w:sz w:val="24"/>
          <w:szCs w:val="24"/>
        </w:rPr>
        <w:t>dan</w:t>
      </w:r>
      <w:r w:rsidRPr="006221A3">
        <w:rPr>
          <w:rFonts w:ascii="Times New Roman" w:hAnsi="Times New Roman" w:cs="Times New Roman"/>
          <w:sz w:val="24"/>
          <w:szCs w:val="24"/>
        </w:rPr>
        <w:t xml:space="preserve"> s</w:t>
      </w:r>
      <w:r w:rsidR="0069004A" w:rsidRPr="006221A3">
        <w:rPr>
          <w:rFonts w:ascii="Times New Roman" w:hAnsi="Times New Roman" w:cs="Times New Roman"/>
          <w:sz w:val="24"/>
          <w:szCs w:val="24"/>
        </w:rPr>
        <w:t>i</w:t>
      </w:r>
      <w:r w:rsidRPr="006221A3">
        <w:rPr>
          <w:rFonts w:ascii="Times New Roman" w:hAnsi="Times New Roman" w:cs="Times New Roman"/>
          <w:sz w:val="24"/>
          <w:szCs w:val="24"/>
        </w:rPr>
        <w:t xml:space="preserve">ginifikan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E768C9" w:rsidRDefault="00E768C9">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B90CC1" w:rsidRPr="006773D8" w:rsidRDefault="00173A58" w:rsidP="00173A58">
      <w:pPr>
        <w:spacing w:line="480" w:lineRule="auto"/>
        <w:jc w:val="center"/>
        <w:rPr>
          <w:rFonts w:ascii="Times New Roman" w:hAnsi="Times New Roman" w:cs="Times New Roman"/>
          <w:b/>
          <w:sz w:val="24"/>
          <w:szCs w:val="24"/>
          <w:lang w:eastAsia="id-ID"/>
        </w:rPr>
      </w:pPr>
      <w:bookmarkStart w:id="0" w:name="_GoBack"/>
      <w:bookmarkEnd w:id="0"/>
      <w:r w:rsidRPr="006773D8">
        <w:rPr>
          <w:rFonts w:ascii="Times New Roman" w:hAnsi="Times New Roman" w:cs="Times New Roman"/>
          <w:b/>
          <w:sz w:val="24"/>
          <w:szCs w:val="24"/>
          <w:lang w:eastAsia="id-ID"/>
        </w:rPr>
        <w:lastRenderedPageBreak/>
        <w:t>BAB V</w:t>
      </w:r>
    </w:p>
    <w:p w:rsidR="00173A58"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KESIMPULAN DAN SARAN</w:t>
      </w:r>
    </w:p>
    <w:p w:rsidR="00173A58" w:rsidRPr="006773D8" w:rsidRDefault="00173A58" w:rsidP="00173A58">
      <w:pPr>
        <w:spacing w:line="480" w:lineRule="auto"/>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5.1</w:t>
      </w:r>
      <w:r w:rsidRPr="006773D8">
        <w:rPr>
          <w:rFonts w:ascii="Times New Roman" w:hAnsi="Times New Roman" w:cs="Times New Roman"/>
          <w:b/>
          <w:sz w:val="24"/>
          <w:szCs w:val="24"/>
          <w:lang w:eastAsia="id-ID"/>
        </w:rPr>
        <w:tab/>
        <w:t>Kesimpulan</w:t>
      </w:r>
    </w:p>
    <w:p w:rsidR="00173A58" w:rsidRDefault="00173A58" w:rsidP="00B44F79">
      <w:p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sidR="00683AE3">
        <w:rPr>
          <w:rFonts w:ascii="Times New Roman" w:hAnsi="Times New Roman" w:cs="Times New Roman"/>
          <w:sz w:val="24"/>
          <w:szCs w:val="24"/>
          <w:lang w:eastAsia="id-ID"/>
        </w:rPr>
        <w:t>Berdasarkan hasil penelitian dan pembahasan yang telah dik</w:t>
      </w:r>
      <w:r w:rsidR="00DB0315">
        <w:rPr>
          <w:rFonts w:ascii="Times New Roman" w:hAnsi="Times New Roman" w:cs="Times New Roman"/>
          <w:sz w:val="24"/>
          <w:szCs w:val="24"/>
          <w:lang w:eastAsia="id-ID"/>
        </w:rPr>
        <w:t>emukakan pada bagian sebelumnya, maka selanjutnya dapat diambil kesimpulan sebagai berikut :</w:t>
      </w:r>
      <w:r w:rsidR="00683AE3">
        <w:rPr>
          <w:rFonts w:ascii="Times New Roman" w:hAnsi="Times New Roman" w:cs="Times New Roman"/>
          <w:sz w:val="24"/>
          <w:szCs w:val="24"/>
          <w:lang w:eastAsia="id-ID"/>
        </w:rPr>
        <w:t xml:space="preserve"> </w:t>
      </w:r>
    </w:p>
    <w:p w:rsidR="00EA4380" w:rsidRPr="00B55BED"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sidRPr="00CE3AB2">
        <w:rPr>
          <w:rFonts w:ascii="Times New Roman" w:hAnsi="Times New Roman" w:cs="Times New Roman"/>
          <w:i/>
          <w:sz w:val="24"/>
          <w:szCs w:val="24"/>
          <w:lang w:eastAsia="id-ID"/>
        </w:rPr>
        <w:t xml:space="preserve">Loan to Deposit Ratio </w:t>
      </w:r>
      <w:r>
        <w:rPr>
          <w:rFonts w:ascii="Times New Roman" w:hAnsi="Times New Roman" w:cs="Times New Roman"/>
          <w:sz w:val="24"/>
          <w:szCs w:val="24"/>
          <w:lang w:eastAsia="id-ID"/>
        </w:rPr>
        <w:t>(LDR) pada perusahaan perbankan yang terdaftar di Bursa Efek Indonesia periode 2018 – 2022 dari tahun ke tahun m</w:t>
      </w:r>
      <w:r w:rsidR="009D4EC2">
        <w:rPr>
          <w:rFonts w:ascii="Times New Roman" w:hAnsi="Times New Roman" w:cs="Times New Roman"/>
          <w:sz w:val="24"/>
          <w:szCs w:val="24"/>
          <w:lang w:eastAsia="id-ID"/>
        </w:rPr>
        <w:t>engalami kenaikan dan penurunan. Kenaikan tertinggi dimiliki oleh perusahaan perban</w:t>
      </w:r>
      <w:r w:rsidR="00CF7FB0">
        <w:rPr>
          <w:rFonts w:ascii="Times New Roman" w:hAnsi="Times New Roman" w:cs="Times New Roman"/>
          <w:sz w:val="24"/>
          <w:szCs w:val="24"/>
          <w:lang w:eastAsia="id-ID"/>
        </w:rPr>
        <w:t xml:space="preserve">kan dengan kode perusahaan BBYB, dengan hasil presentase sebesar </w:t>
      </w:r>
      <w:r w:rsidR="0024642B" w:rsidRPr="0024642B">
        <w:rPr>
          <w:rFonts w:ascii="Times New Roman" w:hAnsi="Times New Roman" w:cs="Times New Roman"/>
          <w:sz w:val="24"/>
          <w:szCs w:val="24"/>
          <w:lang w:eastAsia="id-ID"/>
        </w:rPr>
        <w:t>224,01%</w:t>
      </w:r>
      <w:r w:rsidR="0024642B">
        <w:rPr>
          <w:rFonts w:ascii="Times New Roman" w:hAnsi="Times New Roman" w:cs="Times New Roman"/>
          <w:sz w:val="24"/>
          <w:szCs w:val="24"/>
          <w:lang w:eastAsia="id-ID"/>
        </w:rPr>
        <w:t xml:space="preserve"> tercatat pada tahun 2021. Kemudian untuk penurunan terendah dimiliki </w:t>
      </w:r>
      <w:r w:rsidR="00EA4380">
        <w:rPr>
          <w:rFonts w:ascii="Times New Roman" w:hAnsi="Times New Roman" w:cs="Times New Roman"/>
          <w:sz w:val="24"/>
          <w:szCs w:val="24"/>
          <w:lang w:eastAsia="id-ID"/>
        </w:rPr>
        <w:t xml:space="preserve">oleh perusahaan perbankan dengan kode perusahaan BACA, dengan hasil presentase sebesar </w:t>
      </w:r>
      <w:r w:rsidR="00EA4380" w:rsidRPr="00EA4380">
        <w:rPr>
          <w:rFonts w:ascii="Times New Roman" w:hAnsi="Times New Roman" w:cs="Times New Roman"/>
          <w:sz w:val="24"/>
          <w:szCs w:val="24"/>
          <w:lang w:eastAsia="id-ID"/>
        </w:rPr>
        <w:t>12,35%</w:t>
      </w:r>
      <w:r w:rsidR="00EA4380">
        <w:rPr>
          <w:rFonts w:ascii="Times New Roman" w:hAnsi="Times New Roman" w:cs="Times New Roman"/>
          <w:sz w:val="24"/>
          <w:szCs w:val="24"/>
          <w:lang w:eastAsia="id-ID"/>
        </w:rPr>
        <w:t xml:space="preserve"> yang tercatat pada tahun 2021.</w:t>
      </w:r>
      <w:r w:rsidR="004632E5">
        <w:t xml:space="preserve"> </w:t>
      </w:r>
      <w:r w:rsidR="000172BC" w:rsidRPr="00B55BED">
        <w:rPr>
          <w:rFonts w:ascii="Times New Roman" w:hAnsi="Times New Roman" w:cs="Times New Roman"/>
          <w:sz w:val="24"/>
          <w:szCs w:val="24"/>
        </w:rPr>
        <w:t>Ha</w:t>
      </w:r>
      <w:r w:rsidR="00BB47EC" w:rsidRPr="00B55BED">
        <w:rPr>
          <w:rFonts w:ascii="Times New Roman" w:hAnsi="Times New Roman" w:cs="Times New Roman"/>
          <w:sz w:val="24"/>
          <w:szCs w:val="24"/>
        </w:rPr>
        <w:t>s</w:t>
      </w:r>
      <w:r w:rsidR="000172BC" w:rsidRPr="00B55BED">
        <w:rPr>
          <w:rFonts w:ascii="Times New Roman" w:hAnsi="Times New Roman" w:cs="Times New Roman"/>
          <w:sz w:val="24"/>
          <w:szCs w:val="24"/>
        </w:rPr>
        <w:t xml:space="preserve">il penelitian yang sudah </w:t>
      </w:r>
      <w:r w:rsidR="00BB47EC" w:rsidRPr="00B55BED">
        <w:rPr>
          <w:rFonts w:ascii="Times New Roman" w:hAnsi="Times New Roman" w:cs="Times New Roman"/>
          <w:sz w:val="24"/>
          <w:szCs w:val="24"/>
        </w:rPr>
        <w:t>di analisis menggunakan regresi data p</w:t>
      </w:r>
      <w:r w:rsidR="00D01FEB" w:rsidRPr="00B55BED">
        <w:rPr>
          <w:rFonts w:ascii="Times New Roman" w:hAnsi="Times New Roman" w:cs="Times New Roman"/>
          <w:sz w:val="24"/>
          <w:szCs w:val="24"/>
        </w:rPr>
        <w:t xml:space="preserve">anel menunjukan bahwa variabel </w:t>
      </w:r>
      <w:r w:rsidR="00D01FEB" w:rsidRPr="00B55BED">
        <w:rPr>
          <w:rFonts w:ascii="Times New Roman" w:hAnsi="Times New Roman" w:cs="Times New Roman"/>
          <w:i/>
          <w:sz w:val="24"/>
          <w:szCs w:val="24"/>
        </w:rPr>
        <w:t>Loan to Deposit Ratio</w:t>
      </w:r>
      <w:r w:rsidR="00D01FEB" w:rsidRPr="00B55BED">
        <w:rPr>
          <w:rFonts w:ascii="Times New Roman" w:hAnsi="Times New Roman" w:cs="Times New Roman"/>
          <w:sz w:val="24"/>
          <w:szCs w:val="24"/>
        </w:rPr>
        <w:t xml:space="preserve"> (LDR) (X1) berpengaruh negatif dan signifikan terhadap variabel </w:t>
      </w:r>
      <w:r w:rsidR="00D01FEB" w:rsidRPr="00B55BED">
        <w:rPr>
          <w:rFonts w:ascii="Times New Roman" w:hAnsi="Times New Roman" w:cs="Times New Roman"/>
          <w:i/>
          <w:sz w:val="24"/>
          <w:szCs w:val="24"/>
        </w:rPr>
        <w:t>Return on Asset</w:t>
      </w:r>
      <w:r w:rsidR="00D01FEB" w:rsidRPr="00B55BED">
        <w:rPr>
          <w:rFonts w:ascii="Times New Roman" w:hAnsi="Times New Roman" w:cs="Times New Roman"/>
          <w:sz w:val="24"/>
          <w:szCs w:val="24"/>
        </w:rPr>
        <w:t xml:space="preserve"> (ROA) (Y)</w:t>
      </w:r>
      <w:r w:rsidR="00B55BED" w:rsidRPr="00B55BED">
        <w:rPr>
          <w:rFonts w:ascii="Times New Roman" w:hAnsi="Times New Roman" w:cs="Times New Roman"/>
          <w:sz w:val="24"/>
          <w:szCs w:val="24"/>
        </w:rPr>
        <w:t>.</w:t>
      </w:r>
    </w:p>
    <w:p w:rsidR="00CE3AB2" w:rsidRPr="006773D8"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Net Interest Margin </w:t>
      </w:r>
      <w:r>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3F2E69">
        <w:rPr>
          <w:rFonts w:ascii="Times New Roman" w:hAnsi="Times New Roman" w:cs="Times New Roman"/>
          <w:sz w:val="24"/>
          <w:szCs w:val="24"/>
          <w:lang w:eastAsia="id-ID"/>
        </w:rPr>
        <w:t>13,83%</w:t>
      </w:r>
      <w:r w:rsidR="003F2E69">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3F2E69" w:rsidRPr="003F2E69">
        <w:rPr>
          <w:rFonts w:ascii="Times New Roman" w:hAnsi="Times New Roman" w:cs="Times New Roman"/>
          <w:sz w:val="24"/>
          <w:szCs w:val="24"/>
          <w:lang w:eastAsia="id-ID"/>
        </w:rPr>
        <w:t>2</w:t>
      </w:r>
      <w:r w:rsidRPr="003F2E69">
        <w:rPr>
          <w:rFonts w:ascii="Times New Roman" w:hAnsi="Times New Roman" w:cs="Times New Roman"/>
          <w:sz w:val="24"/>
          <w:szCs w:val="24"/>
          <w:lang w:eastAsia="id-ID"/>
        </w:rPr>
        <w:t xml:space="preserve">. Kemudian untuk </w:t>
      </w:r>
      <w:r w:rsidRPr="003F2E69">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1A06A9">
        <w:rPr>
          <w:rFonts w:ascii="Times New Roman" w:hAnsi="Times New Roman" w:cs="Times New Roman"/>
          <w:sz w:val="24"/>
          <w:szCs w:val="24"/>
          <w:lang w:eastAsia="id-ID"/>
        </w:rPr>
        <w:t>-3,52%</w:t>
      </w:r>
      <w:r w:rsidR="001A06A9">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6773D8">
        <w:rPr>
          <w:rFonts w:ascii="Times New Roman" w:hAnsi="Times New Roman" w:cs="Times New Roman"/>
          <w:sz w:val="24"/>
          <w:szCs w:val="24"/>
          <w:lang w:eastAsia="id-ID"/>
        </w:rPr>
        <w:t xml:space="preserve"> </w:t>
      </w:r>
      <w:r w:rsidR="006773D8" w:rsidRPr="00B55BED">
        <w:rPr>
          <w:rFonts w:ascii="Times New Roman" w:hAnsi="Times New Roman" w:cs="Times New Roman"/>
          <w:sz w:val="24"/>
          <w:szCs w:val="24"/>
        </w:rPr>
        <w:t>Hasil penelitian yang sudah di analisis menggunakan regresi data panel menunjukan bahwa variabel</w:t>
      </w:r>
      <w:r w:rsidR="006773D8">
        <w:rPr>
          <w:rFonts w:ascii="Times New Roman" w:hAnsi="Times New Roman" w:cs="Times New Roman"/>
          <w:sz w:val="24"/>
          <w:szCs w:val="24"/>
        </w:rPr>
        <w:t xml:space="preserve"> </w:t>
      </w:r>
      <w:r w:rsidR="006773D8">
        <w:rPr>
          <w:rFonts w:ascii="Times New Roman" w:hAnsi="Times New Roman" w:cs="Times New Roman"/>
          <w:i/>
          <w:sz w:val="24"/>
          <w:szCs w:val="24"/>
          <w:lang w:eastAsia="id-ID"/>
        </w:rPr>
        <w:t xml:space="preserve">Net Interest Margin </w:t>
      </w:r>
      <w:r w:rsidR="006773D8">
        <w:rPr>
          <w:rFonts w:ascii="Times New Roman" w:hAnsi="Times New Roman" w:cs="Times New Roman"/>
          <w:sz w:val="24"/>
          <w:szCs w:val="24"/>
          <w:lang w:eastAsia="id-ID"/>
        </w:rPr>
        <w:t>(NIM) (X2)</w:t>
      </w:r>
      <w:r w:rsidR="006773D8" w:rsidRPr="00B55BED">
        <w:rPr>
          <w:rFonts w:ascii="Times New Roman" w:hAnsi="Times New Roman" w:cs="Times New Roman"/>
          <w:sz w:val="24"/>
          <w:szCs w:val="24"/>
        </w:rPr>
        <w:t xml:space="preserve"> </w:t>
      </w:r>
      <w:r w:rsidR="006773D8">
        <w:rPr>
          <w:rFonts w:ascii="Times New Roman" w:hAnsi="Times New Roman" w:cs="Times New Roman"/>
          <w:sz w:val="24"/>
          <w:szCs w:val="24"/>
        </w:rPr>
        <w:t>berpengaruh positif</w:t>
      </w:r>
      <w:r w:rsidR="006773D8" w:rsidRPr="00B55BED">
        <w:rPr>
          <w:rFonts w:ascii="Times New Roman" w:hAnsi="Times New Roman" w:cs="Times New Roman"/>
          <w:sz w:val="24"/>
          <w:szCs w:val="24"/>
        </w:rPr>
        <w:t xml:space="preserve"> dan signifikan terhadap variabel </w:t>
      </w:r>
      <w:r w:rsidR="006773D8" w:rsidRPr="00B55BED">
        <w:rPr>
          <w:rFonts w:ascii="Times New Roman" w:hAnsi="Times New Roman" w:cs="Times New Roman"/>
          <w:i/>
          <w:sz w:val="24"/>
          <w:szCs w:val="24"/>
        </w:rPr>
        <w:t>Return on Asset</w:t>
      </w:r>
      <w:r w:rsidR="006773D8" w:rsidRPr="00B55BED">
        <w:rPr>
          <w:rFonts w:ascii="Times New Roman" w:hAnsi="Times New Roman" w:cs="Times New Roman"/>
          <w:sz w:val="24"/>
          <w:szCs w:val="24"/>
        </w:rPr>
        <w:t xml:space="preserve"> (ROA) (Y).</w:t>
      </w:r>
    </w:p>
    <w:p w:rsidR="0024642B" w:rsidRDefault="001A06A9" w:rsidP="0024642B">
      <w:pPr>
        <w:pStyle w:val="ListParagraph"/>
        <w:numPr>
          <w:ilvl w:val="0"/>
          <w:numId w:val="17"/>
        </w:numPr>
        <w:spacing w:line="480" w:lineRule="auto"/>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Return on Asset </w:t>
      </w:r>
      <w:r>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Pr>
          <w:rFonts w:ascii="Times New Roman" w:hAnsi="Times New Roman" w:cs="Times New Roman"/>
          <w:sz w:val="24"/>
          <w:szCs w:val="24"/>
          <w:lang w:eastAsia="id-ID"/>
        </w:rPr>
        <w:t>kan dengan kode perusahaan MEGA</w:t>
      </w:r>
      <w:r>
        <w:rPr>
          <w:rFonts w:ascii="Times New Roman" w:hAnsi="Times New Roman" w:cs="Times New Roman"/>
          <w:sz w:val="24"/>
          <w:szCs w:val="24"/>
          <w:lang w:eastAsia="id-ID"/>
        </w:rPr>
        <w:t xml:space="preserve">, dengan hasil presentase sebesar </w:t>
      </w:r>
      <w:r w:rsidR="009870AE">
        <w:rPr>
          <w:rFonts w:ascii="Times New Roman" w:hAnsi="Times New Roman" w:cs="Times New Roman"/>
          <w:sz w:val="24"/>
          <w:szCs w:val="24"/>
          <w:lang w:eastAsia="id-ID"/>
        </w:rPr>
        <w:t>4,22</w:t>
      </w:r>
      <w:r w:rsidRPr="003F2E6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8765D8">
        <w:rPr>
          <w:rFonts w:ascii="Times New Roman" w:hAnsi="Times New Roman" w:cs="Times New Roman"/>
          <w:sz w:val="24"/>
          <w:szCs w:val="24"/>
          <w:lang w:eastAsia="id-ID"/>
        </w:rPr>
        <w:t>1</w:t>
      </w:r>
      <w:r w:rsidRPr="003F2E69">
        <w:rPr>
          <w:rFonts w:ascii="Times New Roman" w:hAnsi="Times New Roman" w:cs="Times New Roman"/>
          <w:sz w:val="24"/>
          <w:szCs w:val="24"/>
          <w:lang w:eastAsia="id-ID"/>
        </w:rPr>
        <w:t xml:space="preserve">. Kemudian untuk penurunan terendah dimiliki oleh perusahaan perbankan dengan kode perusahaan </w:t>
      </w:r>
      <w:r w:rsidR="008765D8">
        <w:rPr>
          <w:rFonts w:ascii="Times New Roman" w:hAnsi="Times New Roman" w:cs="Times New Roman"/>
          <w:sz w:val="24"/>
          <w:szCs w:val="24"/>
          <w:lang w:eastAsia="id-ID"/>
        </w:rPr>
        <w:t>AGRO</w:t>
      </w:r>
      <w:r w:rsidRPr="003F2E69">
        <w:rPr>
          <w:rFonts w:ascii="Times New Roman" w:hAnsi="Times New Roman" w:cs="Times New Roman"/>
          <w:sz w:val="24"/>
          <w:szCs w:val="24"/>
          <w:lang w:eastAsia="id-ID"/>
        </w:rPr>
        <w:t xml:space="preserve">, dengan hasil presentase sebesar </w:t>
      </w:r>
      <w:r w:rsidR="008765D8">
        <w:rPr>
          <w:rFonts w:ascii="Times New Roman" w:hAnsi="Times New Roman" w:cs="Times New Roman"/>
          <w:sz w:val="24"/>
          <w:szCs w:val="24"/>
          <w:lang w:eastAsia="id-ID"/>
        </w:rPr>
        <w:t>-14,75</w:t>
      </w:r>
      <w:r w:rsidRPr="001A06A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8765D8">
        <w:rPr>
          <w:rFonts w:ascii="Times New Roman" w:hAnsi="Times New Roman" w:cs="Times New Roman"/>
          <w:sz w:val="24"/>
          <w:szCs w:val="24"/>
          <w:lang w:eastAsia="id-ID"/>
        </w:rPr>
        <w:t>.</w:t>
      </w:r>
    </w:p>
    <w:p w:rsidR="00F83C78" w:rsidRPr="00B44F79" w:rsidRDefault="00B44F79" w:rsidP="00B44F79">
      <w:pPr>
        <w:spacing w:line="480" w:lineRule="auto"/>
        <w:rPr>
          <w:rFonts w:ascii="Times New Roman" w:hAnsi="Times New Roman" w:cs="Times New Roman"/>
          <w:b/>
          <w:sz w:val="24"/>
          <w:szCs w:val="24"/>
          <w:lang w:eastAsia="id-ID"/>
        </w:rPr>
      </w:pPr>
      <w:r w:rsidRPr="00B44F79">
        <w:rPr>
          <w:rFonts w:ascii="Times New Roman" w:hAnsi="Times New Roman" w:cs="Times New Roman"/>
          <w:b/>
          <w:sz w:val="24"/>
          <w:szCs w:val="24"/>
          <w:lang w:eastAsia="id-ID"/>
        </w:rPr>
        <w:t>5.2</w:t>
      </w:r>
      <w:r w:rsidRPr="00B44F79">
        <w:rPr>
          <w:rFonts w:ascii="Times New Roman" w:hAnsi="Times New Roman" w:cs="Times New Roman"/>
          <w:b/>
          <w:sz w:val="24"/>
          <w:szCs w:val="24"/>
          <w:lang w:eastAsia="id-ID"/>
        </w:rPr>
        <w:tab/>
        <w:t>Saran</w:t>
      </w:r>
    </w:p>
    <w:p w:rsidR="00E4547B"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0E65C8">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5330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U</w:t>
      </w:r>
      <w:r w:rsidRPr="005330D4">
        <w:rPr>
          <w:rFonts w:ascii="Times New Roman" w:hAnsi="Times New Roman" w:cs="Times New Roman"/>
          <w:sz w:val="24"/>
          <w:szCs w:val="24"/>
          <w:lang w:eastAsia="id-ID"/>
        </w:rPr>
        <w:t>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r w:rsidR="00A619A9">
        <w:rPr>
          <w:rFonts w:ascii="Times New Roman" w:hAnsi="Times New Roman" w:cs="Times New Roman"/>
          <w:sz w:val="24"/>
          <w:szCs w:val="24"/>
          <w:lang w:eastAsia="id-ID"/>
        </w:rPr>
        <w:t>ebut.</w:t>
      </w:r>
    </w:p>
    <w:p w:rsidR="005330D4" w:rsidRPr="005330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5330D4">
        <w:rPr>
          <w:rFonts w:ascii="Times New Roman" w:hAnsi="Times New Roman" w:cs="Times New Roman"/>
          <w:sz w:val="24"/>
          <w:szCs w:val="24"/>
          <w:lang w:eastAsia="id-ID"/>
        </w:rPr>
        <w:lastRenderedPageBreak/>
        <w:t>Pihak perusahaan perlu fokus untuk meningkatkan nilai laba/keuntungan guna mengoptimalkan penggunaan dana dan mengurangi biaya operasional agar tercipta efisiensi dan efektivitas dalam penggunaan dana.</w:t>
      </w:r>
    </w:p>
    <w:p w:rsidR="005330D4" w:rsidRPr="000E65C8"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5330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0E65C8"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DE67E83"/>
    <w:multiLevelType w:val="hybridMultilevel"/>
    <w:tmpl w:val="B31CD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8"/>
  </w:num>
  <w:num w:numId="4">
    <w:abstractNumId w:val="18"/>
  </w:num>
  <w:num w:numId="5">
    <w:abstractNumId w:val="14"/>
  </w:num>
  <w:num w:numId="6">
    <w:abstractNumId w:val="10"/>
  </w:num>
  <w:num w:numId="7">
    <w:abstractNumId w:val="0"/>
  </w:num>
  <w:num w:numId="8">
    <w:abstractNumId w:val="9"/>
  </w:num>
  <w:num w:numId="9">
    <w:abstractNumId w:val="17"/>
  </w:num>
  <w:num w:numId="10">
    <w:abstractNumId w:val="6"/>
  </w:num>
  <w:num w:numId="11">
    <w:abstractNumId w:val="15"/>
  </w:num>
  <w:num w:numId="12">
    <w:abstractNumId w:val="13"/>
  </w:num>
  <w:num w:numId="13">
    <w:abstractNumId w:val="2"/>
  </w:num>
  <w:num w:numId="14">
    <w:abstractNumId w:val="11"/>
  </w:num>
  <w:num w:numId="15">
    <w:abstractNumId w:val="7"/>
  </w:num>
  <w:num w:numId="16">
    <w:abstractNumId w:val="5"/>
  </w:num>
  <w:num w:numId="17">
    <w:abstractNumId w:val="1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34E27"/>
    <w:rsid w:val="00050CF7"/>
    <w:rsid w:val="0005467B"/>
    <w:rsid w:val="00072264"/>
    <w:rsid w:val="00077E34"/>
    <w:rsid w:val="000A00B2"/>
    <w:rsid w:val="000A2E25"/>
    <w:rsid w:val="000C1C15"/>
    <w:rsid w:val="000E65C8"/>
    <w:rsid w:val="000F7071"/>
    <w:rsid w:val="00127B17"/>
    <w:rsid w:val="001373DB"/>
    <w:rsid w:val="00141F80"/>
    <w:rsid w:val="0014358B"/>
    <w:rsid w:val="00173A58"/>
    <w:rsid w:val="00181463"/>
    <w:rsid w:val="001843EC"/>
    <w:rsid w:val="00193781"/>
    <w:rsid w:val="00194034"/>
    <w:rsid w:val="0019660E"/>
    <w:rsid w:val="001A06A9"/>
    <w:rsid w:val="001A3309"/>
    <w:rsid w:val="001B443D"/>
    <w:rsid w:val="001C60BA"/>
    <w:rsid w:val="001D08F2"/>
    <w:rsid w:val="001E7C0A"/>
    <w:rsid w:val="00210D15"/>
    <w:rsid w:val="00212FF8"/>
    <w:rsid w:val="002248D8"/>
    <w:rsid w:val="00234A05"/>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7C1F"/>
    <w:rsid w:val="004F1BED"/>
    <w:rsid w:val="00500F4F"/>
    <w:rsid w:val="005047A2"/>
    <w:rsid w:val="00521086"/>
    <w:rsid w:val="005330D4"/>
    <w:rsid w:val="00551AC2"/>
    <w:rsid w:val="0055739D"/>
    <w:rsid w:val="005818C0"/>
    <w:rsid w:val="00594EDF"/>
    <w:rsid w:val="005A3A47"/>
    <w:rsid w:val="005A4980"/>
    <w:rsid w:val="005D2800"/>
    <w:rsid w:val="005E04AC"/>
    <w:rsid w:val="005E04B6"/>
    <w:rsid w:val="005E5A87"/>
    <w:rsid w:val="005F4DED"/>
    <w:rsid w:val="00601E09"/>
    <w:rsid w:val="00614DBE"/>
    <w:rsid w:val="00615981"/>
    <w:rsid w:val="006221A3"/>
    <w:rsid w:val="00633A68"/>
    <w:rsid w:val="00645B11"/>
    <w:rsid w:val="00654E08"/>
    <w:rsid w:val="00654ED1"/>
    <w:rsid w:val="00656A40"/>
    <w:rsid w:val="006741C0"/>
    <w:rsid w:val="006773D8"/>
    <w:rsid w:val="00683AE3"/>
    <w:rsid w:val="006842EA"/>
    <w:rsid w:val="0069004A"/>
    <w:rsid w:val="006C7910"/>
    <w:rsid w:val="006C7D3E"/>
    <w:rsid w:val="006E52C9"/>
    <w:rsid w:val="006F4D9B"/>
    <w:rsid w:val="00701850"/>
    <w:rsid w:val="007132C1"/>
    <w:rsid w:val="007162E0"/>
    <w:rsid w:val="00725038"/>
    <w:rsid w:val="00733044"/>
    <w:rsid w:val="00735274"/>
    <w:rsid w:val="00756605"/>
    <w:rsid w:val="00761361"/>
    <w:rsid w:val="007706A3"/>
    <w:rsid w:val="00791CB7"/>
    <w:rsid w:val="0079323E"/>
    <w:rsid w:val="007A4991"/>
    <w:rsid w:val="007A7C7B"/>
    <w:rsid w:val="007D0114"/>
    <w:rsid w:val="007D1F09"/>
    <w:rsid w:val="007D7A7D"/>
    <w:rsid w:val="007F30CA"/>
    <w:rsid w:val="00802849"/>
    <w:rsid w:val="0080362C"/>
    <w:rsid w:val="00817D72"/>
    <w:rsid w:val="00825965"/>
    <w:rsid w:val="00831DD1"/>
    <w:rsid w:val="008337E2"/>
    <w:rsid w:val="00844E27"/>
    <w:rsid w:val="008521D0"/>
    <w:rsid w:val="00853EC9"/>
    <w:rsid w:val="008765D8"/>
    <w:rsid w:val="008B20D7"/>
    <w:rsid w:val="008B26F4"/>
    <w:rsid w:val="008E19E4"/>
    <w:rsid w:val="008E1B7D"/>
    <w:rsid w:val="008E51A9"/>
    <w:rsid w:val="008F5DD5"/>
    <w:rsid w:val="0090224B"/>
    <w:rsid w:val="009037E2"/>
    <w:rsid w:val="0092470C"/>
    <w:rsid w:val="0093754B"/>
    <w:rsid w:val="00951498"/>
    <w:rsid w:val="009601B3"/>
    <w:rsid w:val="0096042A"/>
    <w:rsid w:val="00965CED"/>
    <w:rsid w:val="009870AE"/>
    <w:rsid w:val="009A3D2B"/>
    <w:rsid w:val="009A60E2"/>
    <w:rsid w:val="009B1B37"/>
    <w:rsid w:val="009D44B4"/>
    <w:rsid w:val="009D4EC2"/>
    <w:rsid w:val="009F5199"/>
    <w:rsid w:val="00A00C8A"/>
    <w:rsid w:val="00A11EF4"/>
    <w:rsid w:val="00A12C92"/>
    <w:rsid w:val="00A15AAA"/>
    <w:rsid w:val="00A15BB9"/>
    <w:rsid w:val="00A1711E"/>
    <w:rsid w:val="00A236CA"/>
    <w:rsid w:val="00A366B9"/>
    <w:rsid w:val="00A619A9"/>
    <w:rsid w:val="00A649B1"/>
    <w:rsid w:val="00A66A6C"/>
    <w:rsid w:val="00A8057E"/>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44202"/>
    <w:rsid w:val="00C459BF"/>
    <w:rsid w:val="00C6022A"/>
    <w:rsid w:val="00C62B5D"/>
    <w:rsid w:val="00CA2499"/>
    <w:rsid w:val="00CE3AB2"/>
    <w:rsid w:val="00CF7FB0"/>
    <w:rsid w:val="00D01FEB"/>
    <w:rsid w:val="00D105E6"/>
    <w:rsid w:val="00D12AB4"/>
    <w:rsid w:val="00D12EAA"/>
    <w:rsid w:val="00D149F0"/>
    <w:rsid w:val="00D15145"/>
    <w:rsid w:val="00D324E3"/>
    <w:rsid w:val="00D3294E"/>
    <w:rsid w:val="00D507E5"/>
    <w:rsid w:val="00D523DE"/>
    <w:rsid w:val="00D6135D"/>
    <w:rsid w:val="00D66AE8"/>
    <w:rsid w:val="00D67B91"/>
    <w:rsid w:val="00D76CD4"/>
    <w:rsid w:val="00DA4021"/>
    <w:rsid w:val="00DA75BA"/>
    <w:rsid w:val="00DB0315"/>
    <w:rsid w:val="00DB0A9C"/>
    <w:rsid w:val="00DC07D2"/>
    <w:rsid w:val="00DC08FE"/>
    <w:rsid w:val="00DC6030"/>
    <w:rsid w:val="00DD15F0"/>
    <w:rsid w:val="00DD26BE"/>
    <w:rsid w:val="00DD7C8C"/>
    <w:rsid w:val="00DE196D"/>
    <w:rsid w:val="00DE3761"/>
    <w:rsid w:val="00DE692E"/>
    <w:rsid w:val="00DF5980"/>
    <w:rsid w:val="00E10DF0"/>
    <w:rsid w:val="00E17176"/>
    <w:rsid w:val="00E216B3"/>
    <w:rsid w:val="00E24678"/>
    <w:rsid w:val="00E32040"/>
    <w:rsid w:val="00E4547B"/>
    <w:rsid w:val="00E45ABD"/>
    <w:rsid w:val="00E66C4F"/>
    <w:rsid w:val="00E768C9"/>
    <w:rsid w:val="00E80DFA"/>
    <w:rsid w:val="00E83171"/>
    <w:rsid w:val="00E94F1E"/>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45E62"/>
    <w:rsid w:val="00F51EFB"/>
    <w:rsid w:val="00F5677B"/>
    <w:rsid w:val="00F56AA0"/>
    <w:rsid w:val="00F72AF7"/>
    <w:rsid w:val="00F775C8"/>
    <w:rsid w:val="00F82A5D"/>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66DB3-564F-4093-9C5C-1C6CE95C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52</Pages>
  <Words>13815</Words>
  <Characters>78752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cp:lastPrinted>2023-08-03T07:42:00Z</cp:lastPrinted>
  <dcterms:created xsi:type="dcterms:W3CDTF">2023-08-03T05:57:00Z</dcterms:created>
  <dcterms:modified xsi:type="dcterms:W3CDTF">2023-08-11T06:56:00Z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