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B822B9">
        <w:trPr>
          <w:trHeight w:val="315"/>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B822B9">
        <w:trPr>
          <w:trHeight w:val="315"/>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6F4D9B" w:rsidRDefault="006F4D9B" w:rsidP="005E04B6">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Pr="006F4D9B" w:rsidRDefault="0080362C" w:rsidP="005E04B6">
      <w:pPr>
        <w:pStyle w:val="NormalWeb"/>
        <w:shd w:val="clear" w:color="auto" w:fill="FFFFFF"/>
        <w:spacing w:line="480" w:lineRule="auto"/>
        <w:ind w:firstLine="426"/>
        <w:jc w:val="both"/>
        <w:rPr>
          <w:rFonts w:eastAsiaTheme="minorHAnsi"/>
          <w:szCs w:val="22"/>
          <w:lang w:eastAsia="en-US"/>
        </w:rPr>
      </w:pP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Loan to Deposit Ratio (LDR)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Net Interest Margin (NIM),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Loan to Deposit Ratio (LDR)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Net Interest Margin (NIM),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9D44B4" w:rsidRPr="0080362C">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8B26F4">
      <w:pPr>
        <w:ind w:firstLine="720"/>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w:t>
      </w:r>
      <w:r w:rsidR="00F16656">
        <w:rPr>
          <w:rFonts w:eastAsiaTheme="minorHAnsi"/>
          <w:b/>
          <w:szCs w:val="22"/>
          <w:lang w:eastAsia="en-US"/>
        </w:rPr>
        <w:t xml:space="preserve">Hasil </w:t>
      </w:r>
      <w:r w:rsidRPr="003523C6">
        <w:rPr>
          <w:rFonts w:eastAsiaTheme="minorHAnsi"/>
          <w:b/>
          <w:szCs w:val="22"/>
          <w:lang w:eastAsia="en-US"/>
        </w:rPr>
        <w:t xml:space="preserve">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A236CA">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44F02368" wp14:editId="4B8B3874">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A236CA">
      <w:pPr>
        <w:pStyle w:val="NormalWeb"/>
        <w:shd w:val="clear" w:color="auto" w:fill="FFFFFF"/>
        <w:spacing w:line="480" w:lineRule="auto"/>
        <w:ind w:firstLine="426"/>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lastRenderedPageBreak/>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Pr="00B20300"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Berdasarkan h</w:t>
      </w:r>
      <w:r w:rsidR="008337E2">
        <w:rPr>
          <w:rFonts w:ascii="Times New Roman" w:hAnsi="Times New Roman" w:cs="Times New Roman"/>
          <w:sz w:val="24"/>
          <w:szCs w:val="24"/>
        </w:rPr>
        <w:t xml:space="preserve">asil regresi data panel metode </w:t>
      </w:r>
      <w:r w:rsidR="00ED1C0F" w:rsidRPr="00B20300">
        <w:rPr>
          <w:rFonts w:ascii="Times New Roman" w:hAnsi="Times New Roman" w:cs="Times New Roman"/>
          <w:sz w:val="24"/>
          <w:szCs w:val="24"/>
        </w:rPr>
        <w:t xml:space="preserve">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ED1C0F" w:rsidRPr="00B20300">
        <w:rPr>
          <w:rFonts w:ascii="Times New Roman" w:hAnsi="Times New Roman" w:cs="Times New Roman"/>
          <w:sz w:val="24"/>
          <w:szCs w:val="24"/>
        </w:rPr>
        <w:t xml:space="preserve"> sebesar 1% maka kemung</w:t>
      </w:r>
      <w:r w:rsidR="00D507E5">
        <w:rPr>
          <w:rFonts w:ascii="Times New Roman" w:hAnsi="Times New Roman" w:cs="Times New Roman"/>
          <w:sz w:val="24"/>
          <w:szCs w:val="24"/>
        </w:rPr>
        <w:t xml:space="preserve">kinan perusahaan mengalami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sebesar 4,6%.  hal ini berarti variabel X1 berpengaruh negatif terhadap variabel Y. selanjutnya be</w:t>
      </w:r>
      <w:r w:rsidR="008337E2">
        <w:rPr>
          <w:rFonts w:ascii="Times New Roman" w:hAnsi="Times New Roman" w:cs="Times New Roman"/>
          <w:sz w:val="24"/>
          <w:szCs w:val="24"/>
        </w:rPr>
        <w:t>rdasarkan P</w:t>
      </w:r>
      <w:r w:rsidR="00ED1C0F" w:rsidRPr="00B20300">
        <w:rPr>
          <w:rFonts w:ascii="Times New Roman" w:hAnsi="Times New Roman" w:cs="Times New Roman"/>
          <w:sz w:val="24"/>
          <w:szCs w:val="24"/>
        </w:rPr>
        <w:t xml:space="preserve">rob&gt;|z|X1 adalah 0,000 &lt;  0,05, maka H0 ditolak dan H1 diterima yang artinya variabel X1 berpengaruh negatif dan signifikan terhadap variabel Y. </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 xml:space="preserve">Loan to Deposit Ratio </w:t>
      </w:r>
      <w:r w:rsidRPr="006842EA">
        <w:rPr>
          <w:rFonts w:ascii="Times New Roman" w:hAnsi="Times New Roman" w:cs="Times New Roman"/>
          <w:sz w:val="24"/>
          <w:szCs w:val="24"/>
        </w:rPr>
        <w:t>(LDR)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positif dan signifikan terhadap </w:t>
      </w:r>
      <w:r w:rsidRPr="006221A3">
        <w:rPr>
          <w:rFonts w:ascii="Times New Roman" w:hAnsi="Times New Roman" w:cs="Times New Roman"/>
          <w:sz w:val="24"/>
          <w:szCs w:val="24"/>
        </w:rPr>
        <w:lastRenderedPageBreak/>
        <w:t>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Berdasarkan h</w:t>
      </w:r>
      <w:r w:rsidR="004E2481">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kemungkinan perusahaan mengalami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EA6571">
        <w:rPr>
          <w:rFonts w:ascii="Times New Roman" w:hAnsi="Times New Roman" w:cs="Times New Roman"/>
          <w:sz w:val="24"/>
          <w:szCs w:val="24"/>
        </w:rPr>
        <w:t xml:space="preserve"> positif terhadap variabel  Y. S</w:t>
      </w:r>
      <w:r w:rsidR="004E2481">
        <w:rPr>
          <w:rFonts w:ascii="Times New Roman" w:hAnsi="Times New Roman" w:cs="Times New Roman"/>
          <w:sz w:val="24"/>
          <w:szCs w:val="24"/>
        </w:rPr>
        <w:t>elanjutnya berdasarkan nilai P</w:t>
      </w:r>
      <w:r w:rsidRPr="006221A3">
        <w:rPr>
          <w:rFonts w:ascii="Times New Roman" w:hAnsi="Times New Roman" w:cs="Times New Roman"/>
          <w:sz w:val="24"/>
          <w:szCs w:val="24"/>
        </w:rPr>
        <w:t>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w:t>
      </w:r>
      <w:r w:rsidRPr="006221A3">
        <w:rPr>
          <w:rFonts w:ascii="Times New Roman" w:hAnsi="Times New Roman" w:cs="Times New Roman"/>
          <w:sz w:val="24"/>
          <w:szCs w:val="24"/>
        </w:rPr>
        <w:lastRenderedPageBreak/>
        <w:t xml:space="preserve">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ED1C0F" w:rsidRPr="00B20300"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ED1C0F" w:rsidRPr="00B20300" w:rsidRDefault="00ED1C0F" w:rsidP="00B20300">
      <w:pPr>
        <w:spacing w:line="480" w:lineRule="auto"/>
        <w:jc w:val="both"/>
        <w:rPr>
          <w:rFonts w:ascii="Times New Roman" w:hAnsi="Times New Roman" w:cs="Times New Roman"/>
          <w:sz w:val="24"/>
          <w:szCs w:val="24"/>
        </w:rPr>
      </w:pPr>
    </w:p>
    <w:p w:rsidR="00A863A6" w:rsidRPr="00B20300" w:rsidRDefault="00A863A6" w:rsidP="00B20300">
      <w:pPr>
        <w:spacing w:line="480" w:lineRule="auto"/>
        <w:ind w:left="709" w:hanging="709"/>
        <w:jc w:val="both"/>
        <w:rPr>
          <w:rFonts w:ascii="Times New Roman" w:hAnsi="Times New Roman" w:cs="Times New Roman"/>
          <w:sz w:val="24"/>
          <w:szCs w:val="24"/>
          <w:lang w:eastAsia="id-ID"/>
        </w:rPr>
      </w:pPr>
    </w:p>
    <w:p w:rsidR="00173A58" w:rsidRDefault="00173A58">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B90CC1"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lastRenderedPageBreak/>
        <w:t>BAB V</w:t>
      </w:r>
    </w:p>
    <w:p w:rsidR="00173A58" w:rsidRPr="006773D8" w:rsidRDefault="00173A58" w:rsidP="00173A58">
      <w:pPr>
        <w:spacing w:line="480" w:lineRule="auto"/>
        <w:jc w:val="center"/>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KESIMPULAN DAN SARAN</w:t>
      </w:r>
    </w:p>
    <w:p w:rsidR="00173A58" w:rsidRPr="006773D8" w:rsidRDefault="00173A58" w:rsidP="00173A58">
      <w:pPr>
        <w:spacing w:line="480" w:lineRule="auto"/>
        <w:rPr>
          <w:rFonts w:ascii="Times New Roman" w:hAnsi="Times New Roman" w:cs="Times New Roman"/>
          <w:b/>
          <w:sz w:val="24"/>
          <w:szCs w:val="24"/>
          <w:lang w:eastAsia="id-ID"/>
        </w:rPr>
      </w:pPr>
      <w:r w:rsidRPr="006773D8">
        <w:rPr>
          <w:rFonts w:ascii="Times New Roman" w:hAnsi="Times New Roman" w:cs="Times New Roman"/>
          <w:b/>
          <w:sz w:val="24"/>
          <w:szCs w:val="24"/>
          <w:lang w:eastAsia="id-ID"/>
        </w:rPr>
        <w:t>5.1</w:t>
      </w:r>
      <w:r w:rsidRPr="006773D8">
        <w:rPr>
          <w:rFonts w:ascii="Times New Roman" w:hAnsi="Times New Roman" w:cs="Times New Roman"/>
          <w:b/>
          <w:sz w:val="24"/>
          <w:szCs w:val="24"/>
          <w:lang w:eastAsia="id-ID"/>
        </w:rPr>
        <w:tab/>
        <w:t>Kesimpulan</w:t>
      </w:r>
    </w:p>
    <w:p w:rsidR="00173A58" w:rsidRDefault="00173A58" w:rsidP="00173A58">
      <w:p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ab/>
      </w:r>
      <w:r w:rsidR="00683AE3">
        <w:rPr>
          <w:rFonts w:ascii="Times New Roman" w:hAnsi="Times New Roman" w:cs="Times New Roman"/>
          <w:sz w:val="24"/>
          <w:szCs w:val="24"/>
          <w:lang w:eastAsia="id-ID"/>
        </w:rPr>
        <w:t>Berdasarkan hasil penelitian dan pembahasan yang telah dik</w:t>
      </w:r>
      <w:r w:rsidR="00DB0315">
        <w:rPr>
          <w:rFonts w:ascii="Times New Roman" w:hAnsi="Times New Roman" w:cs="Times New Roman"/>
          <w:sz w:val="24"/>
          <w:szCs w:val="24"/>
          <w:lang w:eastAsia="id-ID"/>
        </w:rPr>
        <w:t>emukakan pada bagian sebelumnya, maka selanjutnya dapat diambil kesimpulan sebagai berikut :</w:t>
      </w:r>
      <w:r w:rsidR="00683AE3">
        <w:rPr>
          <w:rFonts w:ascii="Times New Roman" w:hAnsi="Times New Roman" w:cs="Times New Roman"/>
          <w:sz w:val="24"/>
          <w:szCs w:val="24"/>
          <w:lang w:eastAsia="id-ID"/>
        </w:rPr>
        <w:t xml:space="preserve"> </w:t>
      </w:r>
    </w:p>
    <w:p w:rsidR="00EA4380" w:rsidRPr="00B55BED" w:rsidRDefault="006E52C9" w:rsidP="00B55BED">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sidRPr="00CE3AB2">
        <w:rPr>
          <w:rFonts w:ascii="Times New Roman" w:hAnsi="Times New Roman" w:cs="Times New Roman"/>
          <w:i/>
          <w:sz w:val="24"/>
          <w:szCs w:val="24"/>
          <w:lang w:eastAsia="id-ID"/>
        </w:rPr>
        <w:t xml:space="preserve">Loan to Deposit Ratio </w:t>
      </w:r>
      <w:r>
        <w:rPr>
          <w:rFonts w:ascii="Times New Roman" w:hAnsi="Times New Roman" w:cs="Times New Roman"/>
          <w:sz w:val="24"/>
          <w:szCs w:val="24"/>
          <w:lang w:eastAsia="id-ID"/>
        </w:rPr>
        <w:t>(LDR) pada perusahaan perbankan yang terdaftar di Bursa Efek Indonesia periode 2018 – 2022 dari tahun ke tahun m</w:t>
      </w:r>
      <w:r w:rsidR="009D4EC2">
        <w:rPr>
          <w:rFonts w:ascii="Times New Roman" w:hAnsi="Times New Roman" w:cs="Times New Roman"/>
          <w:sz w:val="24"/>
          <w:szCs w:val="24"/>
          <w:lang w:eastAsia="id-ID"/>
        </w:rPr>
        <w:t>engalami kenaikan dan penurunan. Kenaikan tertinggi dimiliki oleh perusahaan perban</w:t>
      </w:r>
      <w:r w:rsidR="00CF7FB0">
        <w:rPr>
          <w:rFonts w:ascii="Times New Roman" w:hAnsi="Times New Roman" w:cs="Times New Roman"/>
          <w:sz w:val="24"/>
          <w:szCs w:val="24"/>
          <w:lang w:eastAsia="id-ID"/>
        </w:rPr>
        <w:t xml:space="preserve">kan dengan kode perusahaan BBYB, dengan hasil presentase sebesar </w:t>
      </w:r>
      <w:r w:rsidR="0024642B" w:rsidRPr="0024642B">
        <w:rPr>
          <w:rFonts w:ascii="Times New Roman" w:hAnsi="Times New Roman" w:cs="Times New Roman"/>
          <w:sz w:val="24"/>
          <w:szCs w:val="24"/>
          <w:lang w:eastAsia="id-ID"/>
        </w:rPr>
        <w:t>224,01%</w:t>
      </w:r>
      <w:r w:rsidR="0024642B">
        <w:rPr>
          <w:rFonts w:ascii="Times New Roman" w:hAnsi="Times New Roman" w:cs="Times New Roman"/>
          <w:sz w:val="24"/>
          <w:szCs w:val="24"/>
          <w:lang w:eastAsia="id-ID"/>
        </w:rPr>
        <w:t xml:space="preserve"> tercatat pada tahun 2021. Kemudian untuk penurunan terendah dimiliki </w:t>
      </w:r>
      <w:r w:rsidR="00EA4380">
        <w:rPr>
          <w:rFonts w:ascii="Times New Roman" w:hAnsi="Times New Roman" w:cs="Times New Roman"/>
          <w:sz w:val="24"/>
          <w:szCs w:val="24"/>
          <w:lang w:eastAsia="id-ID"/>
        </w:rPr>
        <w:t xml:space="preserve">oleh perusahaan perbankan dengan kode perusahaan BACA, dengan hasil presentase sebesar </w:t>
      </w:r>
      <w:r w:rsidR="00EA4380" w:rsidRPr="00EA4380">
        <w:rPr>
          <w:rFonts w:ascii="Times New Roman" w:hAnsi="Times New Roman" w:cs="Times New Roman"/>
          <w:sz w:val="24"/>
          <w:szCs w:val="24"/>
          <w:lang w:eastAsia="id-ID"/>
        </w:rPr>
        <w:t>12,35%</w:t>
      </w:r>
      <w:r w:rsidR="00EA4380">
        <w:rPr>
          <w:rFonts w:ascii="Times New Roman" w:hAnsi="Times New Roman" w:cs="Times New Roman"/>
          <w:sz w:val="24"/>
          <w:szCs w:val="24"/>
          <w:lang w:eastAsia="id-ID"/>
        </w:rPr>
        <w:t xml:space="preserve"> yang tercatat pada tahun 2021.</w:t>
      </w:r>
      <w:r w:rsidR="004632E5">
        <w:t xml:space="preserve"> </w:t>
      </w:r>
      <w:r w:rsidR="000172BC" w:rsidRPr="00B55BED">
        <w:rPr>
          <w:rFonts w:ascii="Times New Roman" w:hAnsi="Times New Roman" w:cs="Times New Roman"/>
          <w:sz w:val="24"/>
          <w:szCs w:val="24"/>
        </w:rPr>
        <w:t>Ha</w:t>
      </w:r>
      <w:r w:rsidR="00BB47EC" w:rsidRPr="00B55BED">
        <w:rPr>
          <w:rFonts w:ascii="Times New Roman" w:hAnsi="Times New Roman" w:cs="Times New Roman"/>
          <w:sz w:val="24"/>
          <w:szCs w:val="24"/>
        </w:rPr>
        <w:t>s</w:t>
      </w:r>
      <w:r w:rsidR="000172BC" w:rsidRPr="00B55BED">
        <w:rPr>
          <w:rFonts w:ascii="Times New Roman" w:hAnsi="Times New Roman" w:cs="Times New Roman"/>
          <w:sz w:val="24"/>
          <w:szCs w:val="24"/>
        </w:rPr>
        <w:t xml:space="preserve">il penelitian yang sudah </w:t>
      </w:r>
      <w:r w:rsidR="00BB47EC" w:rsidRPr="00B55BED">
        <w:rPr>
          <w:rFonts w:ascii="Times New Roman" w:hAnsi="Times New Roman" w:cs="Times New Roman"/>
          <w:sz w:val="24"/>
          <w:szCs w:val="24"/>
        </w:rPr>
        <w:t>di analisis menggunakan regresi data p</w:t>
      </w:r>
      <w:r w:rsidR="00D01FEB" w:rsidRPr="00B55BED">
        <w:rPr>
          <w:rFonts w:ascii="Times New Roman" w:hAnsi="Times New Roman" w:cs="Times New Roman"/>
          <w:sz w:val="24"/>
          <w:szCs w:val="24"/>
        </w:rPr>
        <w:t xml:space="preserve">anel menunjukan bahwa variabel </w:t>
      </w:r>
      <w:r w:rsidR="00D01FEB" w:rsidRPr="00B55BED">
        <w:rPr>
          <w:rFonts w:ascii="Times New Roman" w:hAnsi="Times New Roman" w:cs="Times New Roman"/>
          <w:i/>
          <w:sz w:val="24"/>
          <w:szCs w:val="24"/>
        </w:rPr>
        <w:t>Loan to Deposit Ratio</w:t>
      </w:r>
      <w:r w:rsidR="00D01FEB" w:rsidRPr="00B55BED">
        <w:rPr>
          <w:rFonts w:ascii="Times New Roman" w:hAnsi="Times New Roman" w:cs="Times New Roman"/>
          <w:sz w:val="24"/>
          <w:szCs w:val="24"/>
        </w:rPr>
        <w:t xml:space="preserve"> (LDR) (X1) berpengaruh negatif dan signifikan terhadap variabel </w:t>
      </w:r>
      <w:r w:rsidR="00D01FEB" w:rsidRPr="00B55BED">
        <w:rPr>
          <w:rFonts w:ascii="Times New Roman" w:hAnsi="Times New Roman" w:cs="Times New Roman"/>
          <w:i/>
          <w:sz w:val="24"/>
          <w:szCs w:val="24"/>
        </w:rPr>
        <w:t>Return on Asset</w:t>
      </w:r>
      <w:r w:rsidR="00D01FEB" w:rsidRPr="00B55BED">
        <w:rPr>
          <w:rFonts w:ascii="Times New Roman" w:hAnsi="Times New Roman" w:cs="Times New Roman"/>
          <w:sz w:val="24"/>
          <w:szCs w:val="24"/>
        </w:rPr>
        <w:t xml:space="preserve"> (ROA) (Y)</w:t>
      </w:r>
      <w:r w:rsidR="00B55BED" w:rsidRPr="00B55BED">
        <w:rPr>
          <w:rFonts w:ascii="Times New Roman" w:hAnsi="Times New Roman" w:cs="Times New Roman"/>
          <w:sz w:val="24"/>
          <w:szCs w:val="24"/>
        </w:rPr>
        <w:t>.</w:t>
      </w:r>
    </w:p>
    <w:p w:rsidR="00CE3AB2" w:rsidRPr="006773D8" w:rsidRDefault="00CE3AB2" w:rsidP="006773D8">
      <w:pPr>
        <w:pStyle w:val="ListParagraph"/>
        <w:numPr>
          <w:ilvl w:val="0"/>
          <w:numId w:val="17"/>
        </w:numPr>
        <w:spacing w:line="48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Net Interest Margin </w:t>
      </w:r>
      <w:r>
        <w:rPr>
          <w:rFonts w:ascii="Times New Roman" w:hAnsi="Times New Roman" w:cs="Times New Roman"/>
          <w:sz w:val="24"/>
          <w:szCs w:val="24"/>
          <w:lang w:eastAsia="id-ID"/>
        </w:rPr>
        <w:t xml:space="preserve">(NIM) pada perusahaan perbankan yang terdaftar di Bursa Efek Indonesia periode 2018 – 2022 dari tahun ke tahun mengalami kenaikan dan penurunan. Kenaikan tertinggi dimiliki oleh perusahaan perbankan dengan kode perusahaan BBYB, dengan hasil presentase sebesar </w:t>
      </w:r>
      <w:r w:rsidR="003F2E69" w:rsidRPr="003F2E69">
        <w:rPr>
          <w:rFonts w:ascii="Times New Roman" w:hAnsi="Times New Roman" w:cs="Times New Roman"/>
          <w:sz w:val="24"/>
          <w:szCs w:val="24"/>
          <w:lang w:eastAsia="id-ID"/>
        </w:rPr>
        <w:t>13,83%</w:t>
      </w:r>
      <w:r w:rsidR="003F2E69">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3F2E69" w:rsidRPr="003F2E69">
        <w:rPr>
          <w:rFonts w:ascii="Times New Roman" w:hAnsi="Times New Roman" w:cs="Times New Roman"/>
          <w:sz w:val="24"/>
          <w:szCs w:val="24"/>
          <w:lang w:eastAsia="id-ID"/>
        </w:rPr>
        <w:t>2</w:t>
      </w:r>
      <w:r w:rsidRPr="003F2E69">
        <w:rPr>
          <w:rFonts w:ascii="Times New Roman" w:hAnsi="Times New Roman" w:cs="Times New Roman"/>
          <w:sz w:val="24"/>
          <w:szCs w:val="24"/>
          <w:lang w:eastAsia="id-ID"/>
        </w:rPr>
        <w:t xml:space="preserve">. Kemudian untuk </w:t>
      </w:r>
      <w:r w:rsidRPr="003F2E69">
        <w:rPr>
          <w:rFonts w:ascii="Times New Roman" w:hAnsi="Times New Roman" w:cs="Times New Roman"/>
          <w:sz w:val="24"/>
          <w:szCs w:val="24"/>
          <w:lang w:eastAsia="id-ID"/>
        </w:rPr>
        <w:lastRenderedPageBreak/>
        <w:t xml:space="preserve">penurunan terendah dimiliki oleh perusahaan perbankan dengan kode perusahaan BACA, dengan hasil presentase sebesar </w:t>
      </w:r>
      <w:r w:rsidR="001A06A9" w:rsidRPr="001A06A9">
        <w:rPr>
          <w:rFonts w:ascii="Times New Roman" w:hAnsi="Times New Roman" w:cs="Times New Roman"/>
          <w:sz w:val="24"/>
          <w:szCs w:val="24"/>
          <w:lang w:eastAsia="id-ID"/>
        </w:rPr>
        <w:t>-3,52%</w:t>
      </w:r>
      <w:r w:rsidR="001A06A9">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6773D8">
        <w:rPr>
          <w:rFonts w:ascii="Times New Roman" w:hAnsi="Times New Roman" w:cs="Times New Roman"/>
          <w:sz w:val="24"/>
          <w:szCs w:val="24"/>
          <w:lang w:eastAsia="id-ID"/>
        </w:rPr>
        <w:t xml:space="preserve"> </w:t>
      </w:r>
      <w:r w:rsidR="006773D8" w:rsidRPr="00B55BED">
        <w:rPr>
          <w:rFonts w:ascii="Times New Roman" w:hAnsi="Times New Roman" w:cs="Times New Roman"/>
          <w:sz w:val="24"/>
          <w:szCs w:val="24"/>
        </w:rPr>
        <w:t>Hasil penelitian yang sudah di analisis menggunakan regresi data panel menunjukan bahwa variabel</w:t>
      </w:r>
      <w:r w:rsidR="006773D8">
        <w:rPr>
          <w:rFonts w:ascii="Times New Roman" w:hAnsi="Times New Roman" w:cs="Times New Roman"/>
          <w:sz w:val="24"/>
          <w:szCs w:val="24"/>
        </w:rPr>
        <w:t xml:space="preserve"> </w:t>
      </w:r>
      <w:r w:rsidR="006773D8">
        <w:rPr>
          <w:rFonts w:ascii="Times New Roman" w:hAnsi="Times New Roman" w:cs="Times New Roman"/>
          <w:i/>
          <w:sz w:val="24"/>
          <w:szCs w:val="24"/>
          <w:lang w:eastAsia="id-ID"/>
        </w:rPr>
        <w:t xml:space="preserve">Net Interest Margin </w:t>
      </w:r>
      <w:r w:rsidR="006773D8">
        <w:rPr>
          <w:rFonts w:ascii="Times New Roman" w:hAnsi="Times New Roman" w:cs="Times New Roman"/>
          <w:sz w:val="24"/>
          <w:szCs w:val="24"/>
          <w:lang w:eastAsia="id-ID"/>
        </w:rPr>
        <w:t>(NIM) (X2)</w:t>
      </w:r>
      <w:r w:rsidR="006773D8" w:rsidRPr="00B55BED">
        <w:rPr>
          <w:rFonts w:ascii="Times New Roman" w:hAnsi="Times New Roman" w:cs="Times New Roman"/>
          <w:sz w:val="24"/>
          <w:szCs w:val="24"/>
        </w:rPr>
        <w:t xml:space="preserve"> </w:t>
      </w:r>
      <w:r w:rsidR="006773D8">
        <w:rPr>
          <w:rFonts w:ascii="Times New Roman" w:hAnsi="Times New Roman" w:cs="Times New Roman"/>
          <w:sz w:val="24"/>
          <w:szCs w:val="24"/>
        </w:rPr>
        <w:t>berpengaruh positif</w:t>
      </w:r>
      <w:r w:rsidR="006773D8" w:rsidRPr="00B55BED">
        <w:rPr>
          <w:rFonts w:ascii="Times New Roman" w:hAnsi="Times New Roman" w:cs="Times New Roman"/>
          <w:sz w:val="24"/>
          <w:szCs w:val="24"/>
        </w:rPr>
        <w:t xml:space="preserve"> dan signifikan terhadap variabel </w:t>
      </w:r>
      <w:r w:rsidR="006773D8" w:rsidRPr="00B55BED">
        <w:rPr>
          <w:rFonts w:ascii="Times New Roman" w:hAnsi="Times New Roman" w:cs="Times New Roman"/>
          <w:i/>
          <w:sz w:val="24"/>
          <w:szCs w:val="24"/>
        </w:rPr>
        <w:t>Return on Asset</w:t>
      </w:r>
      <w:r w:rsidR="006773D8" w:rsidRPr="00B55BED">
        <w:rPr>
          <w:rFonts w:ascii="Times New Roman" w:hAnsi="Times New Roman" w:cs="Times New Roman"/>
          <w:sz w:val="24"/>
          <w:szCs w:val="24"/>
        </w:rPr>
        <w:t xml:space="preserve"> (ROA) (Y).</w:t>
      </w:r>
    </w:p>
    <w:p w:rsidR="0024642B" w:rsidRDefault="001A06A9" w:rsidP="0024642B">
      <w:pPr>
        <w:pStyle w:val="ListParagraph"/>
        <w:numPr>
          <w:ilvl w:val="0"/>
          <w:numId w:val="17"/>
        </w:numPr>
        <w:spacing w:line="480" w:lineRule="auto"/>
        <w:rPr>
          <w:rFonts w:ascii="Times New Roman" w:hAnsi="Times New Roman" w:cs="Times New Roman"/>
          <w:sz w:val="24"/>
          <w:szCs w:val="24"/>
          <w:lang w:eastAsia="id-ID"/>
        </w:rPr>
      </w:pPr>
      <w:r>
        <w:rPr>
          <w:rFonts w:ascii="Times New Roman" w:hAnsi="Times New Roman" w:cs="Times New Roman"/>
          <w:sz w:val="24"/>
          <w:szCs w:val="24"/>
          <w:lang w:eastAsia="id-ID"/>
        </w:rPr>
        <w:t xml:space="preserve">Data </w:t>
      </w:r>
      <w:r>
        <w:rPr>
          <w:rFonts w:ascii="Times New Roman" w:hAnsi="Times New Roman" w:cs="Times New Roman"/>
          <w:i/>
          <w:sz w:val="24"/>
          <w:szCs w:val="24"/>
          <w:lang w:eastAsia="id-ID"/>
        </w:rPr>
        <w:t xml:space="preserve">Return on Asset </w:t>
      </w:r>
      <w:r>
        <w:rPr>
          <w:rFonts w:ascii="Times New Roman" w:hAnsi="Times New Roman" w:cs="Times New Roman"/>
          <w:sz w:val="24"/>
          <w:szCs w:val="24"/>
          <w:lang w:eastAsia="id-ID"/>
        </w:rPr>
        <w:t>(ROA)  pada perusahaan perbankan yang terdaftar di Bursa Efek Indonesia periode 2018 – 2022 dari tahun ke tahun mengalami kenaikan dan penurunan. Kenaikan tertinggi dimiliki oleh perusahaan perban</w:t>
      </w:r>
      <w:r w:rsidR="009870AE">
        <w:rPr>
          <w:rFonts w:ascii="Times New Roman" w:hAnsi="Times New Roman" w:cs="Times New Roman"/>
          <w:sz w:val="24"/>
          <w:szCs w:val="24"/>
          <w:lang w:eastAsia="id-ID"/>
        </w:rPr>
        <w:t>kan dengan kode perusahaan MEGA</w:t>
      </w:r>
      <w:r>
        <w:rPr>
          <w:rFonts w:ascii="Times New Roman" w:hAnsi="Times New Roman" w:cs="Times New Roman"/>
          <w:sz w:val="24"/>
          <w:szCs w:val="24"/>
          <w:lang w:eastAsia="id-ID"/>
        </w:rPr>
        <w:t xml:space="preserve">, dengan hasil presentase sebesar </w:t>
      </w:r>
      <w:r w:rsidR="009870AE">
        <w:rPr>
          <w:rFonts w:ascii="Times New Roman" w:hAnsi="Times New Roman" w:cs="Times New Roman"/>
          <w:sz w:val="24"/>
          <w:szCs w:val="24"/>
          <w:lang w:eastAsia="id-ID"/>
        </w:rPr>
        <w:t>4,22</w:t>
      </w:r>
      <w:r w:rsidRPr="003F2E6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3F2E69">
        <w:rPr>
          <w:rFonts w:ascii="Times New Roman" w:hAnsi="Times New Roman" w:cs="Times New Roman"/>
          <w:sz w:val="24"/>
          <w:szCs w:val="24"/>
          <w:lang w:eastAsia="id-ID"/>
        </w:rPr>
        <w:t>tercatat pada tahun 202</w:t>
      </w:r>
      <w:r w:rsidR="008765D8">
        <w:rPr>
          <w:rFonts w:ascii="Times New Roman" w:hAnsi="Times New Roman" w:cs="Times New Roman"/>
          <w:sz w:val="24"/>
          <w:szCs w:val="24"/>
          <w:lang w:eastAsia="id-ID"/>
        </w:rPr>
        <w:t>1</w:t>
      </w:r>
      <w:r w:rsidRPr="003F2E69">
        <w:rPr>
          <w:rFonts w:ascii="Times New Roman" w:hAnsi="Times New Roman" w:cs="Times New Roman"/>
          <w:sz w:val="24"/>
          <w:szCs w:val="24"/>
          <w:lang w:eastAsia="id-ID"/>
        </w:rPr>
        <w:t xml:space="preserve">. Kemudian untuk penurunan terendah dimiliki oleh perusahaan perbankan dengan kode perusahaan </w:t>
      </w:r>
      <w:r w:rsidR="008765D8">
        <w:rPr>
          <w:rFonts w:ascii="Times New Roman" w:hAnsi="Times New Roman" w:cs="Times New Roman"/>
          <w:sz w:val="24"/>
          <w:szCs w:val="24"/>
          <w:lang w:eastAsia="id-ID"/>
        </w:rPr>
        <w:t>AGRO</w:t>
      </w:r>
      <w:r w:rsidRPr="003F2E69">
        <w:rPr>
          <w:rFonts w:ascii="Times New Roman" w:hAnsi="Times New Roman" w:cs="Times New Roman"/>
          <w:sz w:val="24"/>
          <w:szCs w:val="24"/>
          <w:lang w:eastAsia="id-ID"/>
        </w:rPr>
        <w:t xml:space="preserve">, dengan hasil presentase sebesar </w:t>
      </w:r>
      <w:r w:rsidR="008765D8">
        <w:rPr>
          <w:rFonts w:ascii="Times New Roman" w:hAnsi="Times New Roman" w:cs="Times New Roman"/>
          <w:sz w:val="24"/>
          <w:szCs w:val="24"/>
          <w:lang w:eastAsia="id-ID"/>
        </w:rPr>
        <w:t>-14,75</w:t>
      </w:r>
      <w:r w:rsidRPr="001A06A9">
        <w:rPr>
          <w:rFonts w:ascii="Times New Roman" w:hAnsi="Times New Roman" w:cs="Times New Roman"/>
          <w:sz w:val="24"/>
          <w:szCs w:val="24"/>
          <w:lang w:eastAsia="id-ID"/>
        </w:rPr>
        <w:t>%</w:t>
      </w:r>
      <w:r>
        <w:rPr>
          <w:rFonts w:ascii="Times New Roman" w:hAnsi="Times New Roman" w:cs="Times New Roman"/>
          <w:sz w:val="24"/>
          <w:szCs w:val="24"/>
          <w:lang w:eastAsia="id-ID"/>
        </w:rPr>
        <w:t xml:space="preserve"> </w:t>
      </w:r>
      <w:r w:rsidRPr="001A06A9">
        <w:rPr>
          <w:rFonts w:ascii="Times New Roman" w:hAnsi="Times New Roman" w:cs="Times New Roman"/>
          <w:sz w:val="24"/>
          <w:szCs w:val="24"/>
          <w:lang w:eastAsia="id-ID"/>
        </w:rPr>
        <w:t>yang tercatat pada tahun 2021</w:t>
      </w:r>
      <w:r w:rsidR="008765D8">
        <w:rPr>
          <w:rFonts w:ascii="Times New Roman" w:hAnsi="Times New Roman" w:cs="Times New Roman"/>
          <w:sz w:val="24"/>
          <w:szCs w:val="24"/>
          <w:lang w:eastAsia="id-ID"/>
        </w:rPr>
        <w:t>.</w:t>
      </w:r>
    </w:p>
    <w:p w:rsidR="00F83C78" w:rsidRPr="0024642B" w:rsidRDefault="00F83C78" w:rsidP="0024642B">
      <w:pPr>
        <w:pStyle w:val="ListParagraph"/>
        <w:numPr>
          <w:ilvl w:val="0"/>
          <w:numId w:val="17"/>
        </w:numPr>
        <w:spacing w:line="480" w:lineRule="auto"/>
        <w:rPr>
          <w:rFonts w:ascii="Times New Roman" w:hAnsi="Times New Roman" w:cs="Times New Roman"/>
          <w:sz w:val="24"/>
          <w:szCs w:val="24"/>
          <w:lang w:eastAsia="id-ID"/>
        </w:rPr>
      </w:pPr>
      <w:bookmarkStart w:id="0" w:name="_GoBack"/>
      <w:bookmarkEnd w:id="0"/>
    </w:p>
    <w:p w:rsidR="00E4547B" w:rsidRPr="006842EA" w:rsidRDefault="00E4547B" w:rsidP="004632E5">
      <w:pPr>
        <w:pStyle w:val="ListParagraph"/>
        <w:spacing w:line="480" w:lineRule="auto"/>
        <w:rPr>
          <w:rFonts w:ascii="Times New Roman" w:hAnsi="Times New Roman" w:cs="Times New Roman"/>
          <w:sz w:val="24"/>
          <w:szCs w:val="24"/>
          <w:lang w:eastAsia="id-ID"/>
        </w:rPr>
      </w:pPr>
    </w:p>
    <w:sectPr w:rsidR="00E4547B" w:rsidRPr="006842EA"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ED5C5F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6"/>
  </w:num>
  <w:num w:numId="5">
    <w:abstractNumId w:val="12"/>
  </w:num>
  <w:num w:numId="6">
    <w:abstractNumId w:val="8"/>
  </w:num>
  <w:num w:numId="7">
    <w:abstractNumId w:val="0"/>
  </w:num>
  <w:num w:numId="8">
    <w:abstractNumId w:val="7"/>
  </w:num>
  <w:num w:numId="9">
    <w:abstractNumId w:val="15"/>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34E27"/>
    <w:rsid w:val="0005467B"/>
    <w:rsid w:val="00072264"/>
    <w:rsid w:val="00077E34"/>
    <w:rsid w:val="000A2E25"/>
    <w:rsid w:val="000C1C15"/>
    <w:rsid w:val="00127B17"/>
    <w:rsid w:val="001373DB"/>
    <w:rsid w:val="00141F80"/>
    <w:rsid w:val="00173A58"/>
    <w:rsid w:val="00181463"/>
    <w:rsid w:val="001843EC"/>
    <w:rsid w:val="00193781"/>
    <w:rsid w:val="0019660E"/>
    <w:rsid w:val="001A06A9"/>
    <w:rsid w:val="00210D15"/>
    <w:rsid w:val="002248D8"/>
    <w:rsid w:val="00234A05"/>
    <w:rsid w:val="0024642B"/>
    <w:rsid w:val="00250200"/>
    <w:rsid w:val="00252AB8"/>
    <w:rsid w:val="0026095E"/>
    <w:rsid w:val="002724AB"/>
    <w:rsid w:val="0028548A"/>
    <w:rsid w:val="002970DE"/>
    <w:rsid w:val="002A6056"/>
    <w:rsid w:val="002A6342"/>
    <w:rsid w:val="002D19F2"/>
    <w:rsid w:val="002F0A2D"/>
    <w:rsid w:val="003028E1"/>
    <w:rsid w:val="003052D6"/>
    <w:rsid w:val="00326862"/>
    <w:rsid w:val="003523C6"/>
    <w:rsid w:val="00354E2A"/>
    <w:rsid w:val="00367343"/>
    <w:rsid w:val="00372F2B"/>
    <w:rsid w:val="003933BA"/>
    <w:rsid w:val="003A24BB"/>
    <w:rsid w:val="003A2C2B"/>
    <w:rsid w:val="003A7D4A"/>
    <w:rsid w:val="003C1D63"/>
    <w:rsid w:val="003C4166"/>
    <w:rsid w:val="003C7374"/>
    <w:rsid w:val="003C7516"/>
    <w:rsid w:val="003F2E69"/>
    <w:rsid w:val="00422FDF"/>
    <w:rsid w:val="004346A2"/>
    <w:rsid w:val="004632E5"/>
    <w:rsid w:val="0046521A"/>
    <w:rsid w:val="00465EAA"/>
    <w:rsid w:val="0047084F"/>
    <w:rsid w:val="00472920"/>
    <w:rsid w:val="00496DF5"/>
    <w:rsid w:val="004B35F0"/>
    <w:rsid w:val="004B442E"/>
    <w:rsid w:val="004C4682"/>
    <w:rsid w:val="004D71AF"/>
    <w:rsid w:val="004E2481"/>
    <w:rsid w:val="004E48A8"/>
    <w:rsid w:val="004E7C1F"/>
    <w:rsid w:val="004F1BED"/>
    <w:rsid w:val="00500F4F"/>
    <w:rsid w:val="005047A2"/>
    <w:rsid w:val="00521086"/>
    <w:rsid w:val="00551AC2"/>
    <w:rsid w:val="0055739D"/>
    <w:rsid w:val="005818C0"/>
    <w:rsid w:val="00594EDF"/>
    <w:rsid w:val="005A3A47"/>
    <w:rsid w:val="005A4980"/>
    <w:rsid w:val="005D2800"/>
    <w:rsid w:val="005E04AC"/>
    <w:rsid w:val="005E04B6"/>
    <w:rsid w:val="005E5A87"/>
    <w:rsid w:val="005F4DED"/>
    <w:rsid w:val="00615981"/>
    <w:rsid w:val="006221A3"/>
    <w:rsid w:val="00633A68"/>
    <w:rsid w:val="00645B11"/>
    <w:rsid w:val="00654E08"/>
    <w:rsid w:val="00654ED1"/>
    <w:rsid w:val="006741C0"/>
    <w:rsid w:val="006773D8"/>
    <w:rsid w:val="00683AE3"/>
    <w:rsid w:val="006842EA"/>
    <w:rsid w:val="0069004A"/>
    <w:rsid w:val="006C7910"/>
    <w:rsid w:val="006C7D3E"/>
    <w:rsid w:val="006E52C9"/>
    <w:rsid w:val="006F4D9B"/>
    <w:rsid w:val="00701850"/>
    <w:rsid w:val="00725038"/>
    <w:rsid w:val="00735274"/>
    <w:rsid w:val="00756605"/>
    <w:rsid w:val="007706A3"/>
    <w:rsid w:val="007A4991"/>
    <w:rsid w:val="007A7C7B"/>
    <w:rsid w:val="007D0114"/>
    <w:rsid w:val="007D1F09"/>
    <w:rsid w:val="007D7A7D"/>
    <w:rsid w:val="00802849"/>
    <w:rsid w:val="0080362C"/>
    <w:rsid w:val="00817D72"/>
    <w:rsid w:val="00831DD1"/>
    <w:rsid w:val="008337E2"/>
    <w:rsid w:val="00844E27"/>
    <w:rsid w:val="008521D0"/>
    <w:rsid w:val="00853EC9"/>
    <w:rsid w:val="008765D8"/>
    <w:rsid w:val="008B20D7"/>
    <w:rsid w:val="008B26F4"/>
    <w:rsid w:val="008E19E4"/>
    <w:rsid w:val="008E1B7D"/>
    <w:rsid w:val="008E51A9"/>
    <w:rsid w:val="008F5DD5"/>
    <w:rsid w:val="0090224B"/>
    <w:rsid w:val="009037E2"/>
    <w:rsid w:val="0092470C"/>
    <w:rsid w:val="00951498"/>
    <w:rsid w:val="009601B3"/>
    <w:rsid w:val="0096042A"/>
    <w:rsid w:val="009870AE"/>
    <w:rsid w:val="009A3D2B"/>
    <w:rsid w:val="009B1B37"/>
    <w:rsid w:val="009D44B4"/>
    <w:rsid w:val="009D4EC2"/>
    <w:rsid w:val="009F5199"/>
    <w:rsid w:val="00A00C8A"/>
    <w:rsid w:val="00A11EF4"/>
    <w:rsid w:val="00A12C92"/>
    <w:rsid w:val="00A15AAA"/>
    <w:rsid w:val="00A15BB9"/>
    <w:rsid w:val="00A1711E"/>
    <w:rsid w:val="00A236CA"/>
    <w:rsid w:val="00A366B9"/>
    <w:rsid w:val="00A649B1"/>
    <w:rsid w:val="00A66A6C"/>
    <w:rsid w:val="00A82D68"/>
    <w:rsid w:val="00A83CE7"/>
    <w:rsid w:val="00A863A6"/>
    <w:rsid w:val="00AA7DEC"/>
    <w:rsid w:val="00AB00E6"/>
    <w:rsid w:val="00AD39BA"/>
    <w:rsid w:val="00AD4599"/>
    <w:rsid w:val="00AD7AE8"/>
    <w:rsid w:val="00AF35C3"/>
    <w:rsid w:val="00B20300"/>
    <w:rsid w:val="00B311EC"/>
    <w:rsid w:val="00B33CBC"/>
    <w:rsid w:val="00B40E6C"/>
    <w:rsid w:val="00B43B50"/>
    <w:rsid w:val="00B55BED"/>
    <w:rsid w:val="00B61745"/>
    <w:rsid w:val="00B64D56"/>
    <w:rsid w:val="00B8124D"/>
    <w:rsid w:val="00B822B9"/>
    <w:rsid w:val="00B90CC1"/>
    <w:rsid w:val="00BB47EC"/>
    <w:rsid w:val="00C05C1D"/>
    <w:rsid w:val="00C1017D"/>
    <w:rsid w:val="00C224B1"/>
    <w:rsid w:val="00C33872"/>
    <w:rsid w:val="00C36230"/>
    <w:rsid w:val="00C459BF"/>
    <w:rsid w:val="00C6022A"/>
    <w:rsid w:val="00C62B5D"/>
    <w:rsid w:val="00CA2499"/>
    <w:rsid w:val="00CE3AB2"/>
    <w:rsid w:val="00CF7FB0"/>
    <w:rsid w:val="00D01FEB"/>
    <w:rsid w:val="00D105E6"/>
    <w:rsid w:val="00D12EAA"/>
    <w:rsid w:val="00D149F0"/>
    <w:rsid w:val="00D324E3"/>
    <w:rsid w:val="00D507E5"/>
    <w:rsid w:val="00D523DE"/>
    <w:rsid w:val="00D6135D"/>
    <w:rsid w:val="00D66AE8"/>
    <w:rsid w:val="00D67B91"/>
    <w:rsid w:val="00D76CD4"/>
    <w:rsid w:val="00DA75BA"/>
    <w:rsid w:val="00DB0315"/>
    <w:rsid w:val="00DB0A9C"/>
    <w:rsid w:val="00DC07D2"/>
    <w:rsid w:val="00DC08FE"/>
    <w:rsid w:val="00DC6030"/>
    <w:rsid w:val="00DD26BE"/>
    <w:rsid w:val="00DD7C8C"/>
    <w:rsid w:val="00DE196D"/>
    <w:rsid w:val="00DE3761"/>
    <w:rsid w:val="00DE692E"/>
    <w:rsid w:val="00DF5980"/>
    <w:rsid w:val="00E17176"/>
    <w:rsid w:val="00E216B3"/>
    <w:rsid w:val="00E24678"/>
    <w:rsid w:val="00E32040"/>
    <w:rsid w:val="00E4547B"/>
    <w:rsid w:val="00E45ABD"/>
    <w:rsid w:val="00E66C4F"/>
    <w:rsid w:val="00E80DFA"/>
    <w:rsid w:val="00E83171"/>
    <w:rsid w:val="00EA066D"/>
    <w:rsid w:val="00EA4380"/>
    <w:rsid w:val="00EA6571"/>
    <w:rsid w:val="00EB7902"/>
    <w:rsid w:val="00EC3B7F"/>
    <w:rsid w:val="00EC6655"/>
    <w:rsid w:val="00ED1C0F"/>
    <w:rsid w:val="00ED2877"/>
    <w:rsid w:val="00EE1D07"/>
    <w:rsid w:val="00EE4D70"/>
    <w:rsid w:val="00F01DA5"/>
    <w:rsid w:val="00F120D2"/>
    <w:rsid w:val="00F16656"/>
    <w:rsid w:val="00F20B2E"/>
    <w:rsid w:val="00F51EFB"/>
    <w:rsid w:val="00F5677B"/>
    <w:rsid w:val="00F56AA0"/>
    <w:rsid w:val="00F775C8"/>
    <w:rsid w:val="00F82F62"/>
    <w:rsid w:val="00F83C78"/>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84E10-C99B-4A39-9424-0F24E63D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47</Pages>
  <Words>11521</Words>
  <Characters>65670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2023-07-15T05:31:00Z</dcterms:created>
  <dcterms:modified xsi:type="dcterms:W3CDTF">2023-07-31T09:17:00Z</dcterms:modified>
</cp:coreProperties>
</file>