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8D8" w:rsidRPr="00E66C4F" w:rsidRDefault="002248D8" w:rsidP="00E66C4F">
      <w:pPr>
        <w:pStyle w:val="NormalWeb"/>
        <w:spacing w:line="480" w:lineRule="auto"/>
        <w:jc w:val="center"/>
        <w:rPr>
          <w:b/>
          <w:color w:val="000000" w:themeColor="text1"/>
        </w:rPr>
      </w:pPr>
      <w:r w:rsidRPr="00E66C4F">
        <w:rPr>
          <w:b/>
          <w:color w:val="000000" w:themeColor="text1"/>
        </w:rPr>
        <w:t>BAB IV</w:t>
      </w:r>
    </w:p>
    <w:p w:rsidR="007A7C7B" w:rsidRDefault="00E66C4F" w:rsidP="003523C6">
      <w:pPr>
        <w:pStyle w:val="NormalWeb"/>
        <w:spacing w:line="480" w:lineRule="auto"/>
        <w:jc w:val="center"/>
        <w:rPr>
          <w:b/>
          <w:color w:val="000000" w:themeColor="text1"/>
        </w:rPr>
      </w:pPr>
      <w:r w:rsidRPr="00E66C4F">
        <w:rPr>
          <w:b/>
          <w:color w:val="000000" w:themeColor="text1"/>
        </w:rPr>
        <w:t>HASIL PENELITIAN DAN PEMBAHASAN</w:t>
      </w:r>
    </w:p>
    <w:p w:rsidR="0019660E" w:rsidRDefault="007A7C7B" w:rsidP="003523C6">
      <w:pPr>
        <w:pStyle w:val="NormalWeb"/>
        <w:spacing w:line="276" w:lineRule="auto"/>
        <w:rPr>
          <w:b/>
          <w:color w:val="000000" w:themeColor="text1"/>
        </w:rPr>
      </w:pPr>
      <w:r>
        <w:rPr>
          <w:b/>
          <w:color w:val="000000" w:themeColor="text1"/>
        </w:rPr>
        <w:t>4.1</w:t>
      </w:r>
      <w:r>
        <w:rPr>
          <w:b/>
          <w:color w:val="000000" w:themeColor="text1"/>
        </w:rPr>
        <w:tab/>
        <w:t>Deskripsi Data</w:t>
      </w:r>
    </w:p>
    <w:p w:rsidR="00D76CD4" w:rsidRDefault="00C36230" w:rsidP="00725038">
      <w:pPr>
        <w:pStyle w:val="NormalWeb"/>
        <w:spacing w:line="480" w:lineRule="auto"/>
        <w:ind w:firstLine="720"/>
        <w:jc w:val="both"/>
        <w:rPr>
          <w:rStyle w:val="selectable-text"/>
        </w:rPr>
      </w:pPr>
      <w:r>
        <w:rPr>
          <w:color w:val="000000" w:themeColor="text1"/>
        </w:rPr>
        <w:t>Populasi yang diambil dalam penelitain ini merupakan sektor perbankan yang terdaftar di Bursa Efek Indonesia (BEI)</w:t>
      </w:r>
      <w:r w:rsidR="00F82F62">
        <w:rPr>
          <w:color w:val="000000" w:themeColor="text1"/>
        </w:rPr>
        <w:t xml:space="preserve">. Data yang diambil dalam penelitaian ini merupakan data laporan tahunan </w:t>
      </w:r>
      <w:r w:rsidR="0092470C">
        <w:rPr>
          <w:color w:val="000000" w:themeColor="text1"/>
        </w:rPr>
        <w:t>(</w:t>
      </w:r>
      <w:r w:rsidR="0092470C" w:rsidRPr="0092470C">
        <w:rPr>
          <w:i/>
          <w:color w:val="000000" w:themeColor="text1"/>
        </w:rPr>
        <w:t>annual report</w:t>
      </w:r>
      <w:r w:rsidR="0092470C">
        <w:rPr>
          <w:color w:val="000000" w:themeColor="text1"/>
        </w:rPr>
        <w:t>), laporan tahunan tersebut diambil dari Bursa Efek Indonesia (BEI)</w:t>
      </w:r>
      <w:r w:rsidR="00A649B1">
        <w:rPr>
          <w:color w:val="000000" w:themeColor="text1"/>
        </w:rPr>
        <w:t xml:space="preserve">. </w:t>
      </w:r>
      <w:r w:rsidR="00DD26BE">
        <w:rPr>
          <w:color w:val="000000" w:themeColor="text1"/>
        </w:rPr>
        <w:t>Penelitian ini meng</w:t>
      </w:r>
      <w:r w:rsidR="00A15BB9">
        <w:rPr>
          <w:color w:val="000000" w:themeColor="text1"/>
        </w:rPr>
        <w:t>gunakan laporan tahunan, p</w:t>
      </w:r>
      <w:r w:rsidR="00A15BB9" w:rsidRPr="00A15BB9">
        <w:rPr>
          <w:color w:val="000000" w:themeColor="text1"/>
        </w:rPr>
        <w:t xml:space="preserve">emilihan laporan tahunan </w:t>
      </w:r>
      <w:r w:rsidR="00A15BB9">
        <w:rPr>
          <w:color w:val="000000" w:themeColor="text1"/>
        </w:rPr>
        <w:t xml:space="preserve">digunakan </w:t>
      </w:r>
      <w:r w:rsidR="00A15BB9" w:rsidRPr="00A15BB9">
        <w:rPr>
          <w:color w:val="000000" w:themeColor="text1"/>
        </w:rPr>
        <w:t xml:space="preserve">sebagai data utama </w:t>
      </w:r>
      <w:r w:rsidR="00A15BB9">
        <w:rPr>
          <w:color w:val="000000" w:themeColor="text1"/>
        </w:rPr>
        <w:t xml:space="preserve">yang </w:t>
      </w:r>
      <w:r w:rsidR="00A15BB9" w:rsidRPr="00A15BB9">
        <w:rPr>
          <w:color w:val="000000" w:themeColor="text1"/>
        </w:rPr>
        <w:t>dilakukan karena laporan ini menyajikan informasi yang komprehensif dan terperinci tentang perusahaan.</w:t>
      </w:r>
      <w:r w:rsidR="000C1C15">
        <w:rPr>
          <w:color w:val="000000" w:themeColor="text1"/>
        </w:rPr>
        <w:t xml:space="preserve"> </w:t>
      </w:r>
      <w:r w:rsidR="000C1C15">
        <w:rPr>
          <w:rStyle w:val="selectable-text"/>
        </w:rPr>
        <w:t>Bursa Efek Indonesia (BEI) merupakan pasar saham di Indonesia yang memfasilitasi perdagangan saham, pendapatan tetap, instrumen derivatif, reksadana, saham syariah, dan obligasi. Bursa Efek Indonesia (BEI) menyediakan data perdagangan secara real time dalam bentuk data-feed kepada perusahaan. Selain itu, BEI menyediakan informasi menyeluruh tentang perkembangan saham kepada masyarakat melalui media cetak dan elektronik.</w:t>
      </w:r>
    </w:p>
    <w:p w:rsidR="005818C0" w:rsidRPr="00F01DA5" w:rsidRDefault="00F01DA5" w:rsidP="00F01DA5">
      <w:pPr>
        <w:pStyle w:val="NormalWeb"/>
        <w:spacing w:line="480" w:lineRule="auto"/>
        <w:ind w:firstLine="720"/>
        <w:jc w:val="both"/>
        <w:rPr>
          <w:color w:val="000000" w:themeColor="text1"/>
        </w:rPr>
      </w:pPr>
      <w:r w:rsidRPr="00F01DA5">
        <w:rPr>
          <w:color w:val="000000" w:themeColor="text1"/>
        </w:rPr>
        <w:t>Perusahaan perbankan bergerak dalam bidang keuangan dan jasa perbankan. Tugas utama perusahaan perbankan adalah menyediakan berbagai layanan keuangan kepada nasabahnya.</w:t>
      </w:r>
      <w:r>
        <w:rPr>
          <w:color w:val="000000" w:themeColor="text1"/>
        </w:rPr>
        <w:t xml:space="preserve"> </w:t>
      </w:r>
      <w:r w:rsidRPr="00F01DA5">
        <w:rPr>
          <w:color w:val="000000" w:themeColor="text1"/>
        </w:rPr>
        <w:t>Beberapa layanan yang biasanya ditawarkan oleh perusahaan perba</w:t>
      </w:r>
      <w:r>
        <w:rPr>
          <w:color w:val="000000" w:themeColor="text1"/>
        </w:rPr>
        <w:t xml:space="preserve">nkan seperti Penghimpunan Dana, </w:t>
      </w:r>
      <w:r w:rsidRPr="00F01DA5">
        <w:rPr>
          <w:color w:val="000000" w:themeColor="text1"/>
        </w:rPr>
        <w:t xml:space="preserve">Pemberian Kredit, Transaksi dan Pembayaran, Investasi dan Manajemen Aset, Layanan Perbankan Elektronik, Layanan Perbankan Korporat. Perusahaan perbankan memiliki peran penting dalam memfasilitasi kegiatan ekonomi dan membantu </w:t>
      </w:r>
      <w:r w:rsidRPr="00F01DA5">
        <w:rPr>
          <w:color w:val="000000" w:themeColor="text1"/>
        </w:rPr>
        <w:lastRenderedPageBreak/>
        <w:t>dalam aliran dana serta alokasi sumber daya yang efisien di masyarakat.</w:t>
      </w:r>
      <w:r>
        <w:rPr>
          <w:color w:val="000000" w:themeColor="text1"/>
        </w:rPr>
        <w:t xml:space="preserve"> Berikut merupakan profil singkat perusahaan perbankan yang terdaftar di Bursa Efek Indonesia</w:t>
      </w:r>
      <w:r w:rsidR="00234A05">
        <w:rPr>
          <w:color w:val="000000" w:themeColor="text1"/>
        </w:rPr>
        <w:t xml:space="preserve"> (BEI) periode 2018 – 2022 </w:t>
      </w:r>
      <w:r w:rsidR="00831DD1">
        <w:rPr>
          <w:color w:val="000000" w:themeColor="text1"/>
        </w:rPr>
        <w:t>yang diambil berdasarkan sampel penelitian ini :</w:t>
      </w:r>
    </w:p>
    <w:p w:rsidR="00F56AA0" w:rsidRDefault="00F56AA0" w:rsidP="00F56AA0">
      <w:pPr>
        <w:pStyle w:val="NormalWeb"/>
        <w:numPr>
          <w:ilvl w:val="0"/>
          <w:numId w:val="7"/>
        </w:numPr>
        <w:jc w:val="both"/>
        <w:rPr>
          <w:color w:val="000000" w:themeColor="text1"/>
        </w:rPr>
      </w:pPr>
      <w:r>
        <w:rPr>
          <w:color w:val="000000" w:themeColor="text1"/>
        </w:rPr>
        <w:t xml:space="preserve">PT </w:t>
      </w:r>
      <w:r w:rsidRPr="002724AB">
        <w:rPr>
          <w:color w:val="000000" w:themeColor="text1"/>
        </w:rPr>
        <w:t>Bank Raya Indonesia</w:t>
      </w:r>
      <w:r>
        <w:rPr>
          <w:color w:val="000000" w:themeColor="text1"/>
        </w:rPr>
        <w:t xml:space="preserve"> (AGRO)</w:t>
      </w:r>
      <w:r w:rsidRPr="002724AB">
        <w:rPr>
          <w:color w:val="000000" w:themeColor="text1"/>
        </w:rPr>
        <w:t xml:space="preserve"> Tbk</w:t>
      </w:r>
    </w:p>
    <w:p w:rsidR="00E66C4F" w:rsidRDefault="00193781" w:rsidP="00F56AA0">
      <w:pPr>
        <w:pStyle w:val="NormalWeb"/>
        <w:spacing w:line="480" w:lineRule="auto"/>
        <w:ind w:left="720" w:firstLine="720"/>
        <w:jc w:val="both"/>
        <w:rPr>
          <w:color w:val="000000" w:themeColor="text1"/>
        </w:rPr>
      </w:pPr>
      <w:r w:rsidRPr="002724AB">
        <w:rPr>
          <w:color w:val="000000" w:themeColor="text1"/>
        </w:rPr>
        <w:t xml:space="preserve">Bank Raya Indonesia Tbk (dahulu Bank Rakyat Indonesia Agroniaga Tbk atau Bank BRI AGRO) (sebelumnya Bank Agroniaga Tbk) (AGRO) didirikan pada tanggal 27 September 1989 dan memulai kegiatan usaha komersialnya pada tahun 1990. Kantor pusat Bank Raya Indonesia Tbk berlokasi di Menara BRILiaN Lt. 20, Jl. Gatot Subroto No. 177A, Kel No.RT 009/01, Menteng Dalam, Tebet, Jakarta Selatan, DKI Jakarta 12870 – Indonesia. Pemegang saham yang memiliki 5% atau lebih saham Bank Raya Indonesia Tbk (31-Mar-2023), yaitu: Bank Rakyat Indonesia (Persero) Tbk (Bank BRI) / BBRI, dengan persentase kemepilikan sebesar 86,85%. Bank AGRO diakuisisi oleh Bank BRI pada tahun 2011 dan kemudian ditahun 2012 nama Bank Agroniaga Tbk diganti menjadi Bank Rakyat Indonesia Agroniaga Tbk (Bank BRI AGRO). Berdasarkan Anggaran Dasar Perusahaan, ruang lingkup kegiatan AGRO adalah menjalankan kegiatan umum di bidang perbankan. Saat ini, Bank Raya memiliki 1 kantor pusat non operasional, 9 kantor cabang, 10 community branches, 11 kantor cabang pembantu, 2 kantor kas dan 1 e-buzz. Bank Raya memperoleh izin sebagai bank umum pada tanggal 11 Desember 1989 dan izin sebagai Bank Devisa 08 Mei 2006. Pada tanggal </w:t>
      </w:r>
      <w:r w:rsidRPr="002724AB">
        <w:rPr>
          <w:color w:val="000000" w:themeColor="text1"/>
        </w:rPr>
        <w:lastRenderedPageBreak/>
        <w:t>30 Juni 2003, AGRO memperoleh pernyataan efektif dari BAPEPAM-LK untuk melakukan Penawaran Umum Perdana Saham AGRO (IPO) kepada masyarakat melalui pasar modal. Kemudian pada 8 Agustus 2003 Perusahaan mencatatkan saham perdananya sebanyak 1.514.043.000 lembar saham di Bursa Efek Surabaya (BES) (sekarang Bursa Efek Indonesia / BEI).</w:t>
      </w:r>
    </w:p>
    <w:p w:rsidR="00F56AA0" w:rsidRDefault="00F56AA0" w:rsidP="00F56AA0">
      <w:pPr>
        <w:pStyle w:val="NormalWeb"/>
        <w:numPr>
          <w:ilvl w:val="0"/>
          <w:numId w:val="7"/>
        </w:numPr>
        <w:jc w:val="both"/>
        <w:rPr>
          <w:color w:val="000000" w:themeColor="text1"/>
        </w:rPr>
      </w:pPr>
      <w:r w:rsidRPr="00E66C4F">
        <w:rPr>
          <w:color w:val="000000" w:themeColor="text1"/>
        </w:rPr>
        <w:t>PT Bank MNC Internasional Tbk</w:t>
      </w:r>
    </w:p>
    <w:p w:rsidR="00E66C4F" w:rsidRDefault="00193781" w:rsidP="00F56AA0">
      <w:pPr>
        <w:pStyle w:val="NormalWeb"/>
        <w:spacing w:line="480" w:lineRule="auto"/>
        <w:ind w:left="720" w:firstLine="720"/>
        <w:jc w:val="both"/>
        <w:rPr>
          <w:color w:val="000000" w:themeColor="text1"/>
        </w:rPr>
      </w:pPr>
      <w:r w:rsidRPr="00E66C4F">
        <w:rPr>
          <w:color w:val="000000" w:themeColor="text1"/>
        </w:rPr>
        <w:t xml:space="preserve">PT Bank MNC Internasional Tbk (selanjutnya disebut “MNC Bank” atau “Bank”) merupakan bank swasta nasional yang berdiri dengan nama PT Bank Bumiputera pada tanggal 9 Agustus 1989. Bank secara resmi beroperasi pada tanggal 12 Januari 1990 dan mendapatkan izin sebagai bank devisa pada tahun 1997. Pada tahun 2002 Bank mencatatkan sahamnya sebagai perusahaan terbuka di Bursa Efek Indonesia. Pada 31 Agustus 2014, PT MNC Kapital Indonesia Tbk mengakuisisi saham Bank ICB Bumiputera sekaligus menjadi pemegang saham pengendali. Resmi Berdasarkan Surat Keputusan Dewan Komisioner Otoritas Jasa Keuangan No.18/KDK.03/2014 tanggal 15 Oktober 2014, PT Bank ICB Bumiputera Tbk berubah nama menjadi PT Bank MNC Internasional Tbk (MNC Bank), mengukuhkan identitasnya sebagai entitas tersendiri yang merupakan bagian dari MNC Group. Sesuai dengan visi MNC Bank menjadi Bank masa depan yang berlandaskan teknologi tergini guna memberikan kemudahan bertransaksi dengan memperhatikan keselarasan kepentingan ekonomi, sosial dan lingkungan hidup, MNC Bank </w:t>
      </w:r>
      <w:r w:rsidRPr="00E66C4F">
        <w:rPr>
          <w:color w:val="000000" w:themeColor="text1"/>
        </w:rPr>
        <w:lastRenderedPageBreak/>
        <w:t>menawarkan produk simpanan, produk pinjaman serta layanan jasa yangsangat beragam, dan terbagi untuk kategori Individu dan bisnis yang ditawarkan bersamaan dengan berbagai program dan promo.</w:t>
      </w:r>
    </w:p>
    <w:p w:rsidR="00141F80" w:rsidRDefault="00F56AA0" w:rsidP="00F56AA0">
      <w:pPr>
        <w:pStyle w:val="NormalWeb"/>
        <w:numPr>
          <w:ilvl w:val="0"/>
          <w:numId w:val="7"/>
        </w:numPr>
        <w:jc w:val="both"/>
        <w:rPr>
          <w:color w:val="000000" w:themeColor="text1"/>
        </w:rPr>
      </w:pPr>
      <w:r>
        <w:rPr>
          <w:color w:val="000000" w:themeColor="text1"/>
        </w:rPr>
        <w:t xml:space="preserve">PT </w:t>
      </w:r>
      <w:r w:rsidR="00141F80" w:rsidRPr="00E66C4F">
        <w:rPr>
          <w:color w:val="000000" w:themeColor="text1"/>
        </w:rPr>
        <w:t>Bank Capital Indonesia Tbk</w:t>
      </w:r>
    </w:p>
    <w:p w:rsidR="00E66C4F" w:rsidRDefault="00193781" w:rsidP="00F56AA0">
      <w:pPr>
        <w:pStyle w:val="NormalWeb"/>
        <w:spacing w:line="480" w:lineRule="auto"/>
        <w:ind w:left="720" w:firstLine="720"/>
        <w:jc w:val="both"/>
        <w:rPr>
          <w:color w:val="000000" w:themeColor="text1"/>
        </w:rPr>
      </w:pPr>
      <w:r w:rsidRPr="00E66C4F">
        <w:rPr>
          <w:color w:val="000000" w:themeColor="text1"/>
        </w:rPr>
        <w:t xml:space="preserve">Bank Capital Indonesia Tbk (BACA) didirikan tanggal 20 April 1989 dengan nama PT Bank Credit Lyonnais Indonesia dan telah beroperasi secara komersial sejak tahun 1989. Kantor pusat Bank Capital Indonesia Tbk beralamat di Menara Jamsostek Lt. 6, Jl. Gatot Subroto Kav. 38, Jakarta Selatan 12710 – Indonesia. Pemegang saham yang memiliki 5% atau lebih saham Bank Capital Indonesia Tbk (30-Jun-2022), yaitu: PT Inigo Global Capital (PT Kirana Cemerlang Indonesia) (14,71%), PT Delta Indo Swakarsa (13,96%) dan KPD Simas Equity Fund 2 (9,50%). Pemilik Manfaat Akhir (Ultimate Beneficial Ownership) dan pengendali Bank Capital Indonesia Tbk adalah Bapak Danny Nugroho, melalui PT Delta Indo Swakarsa dan PT Inigo Global Capital. Berdasarkan Anggaran Dasar Bank, maksud dan tujuan serta kegiatan usaha BACA adalah melakukan usaha di bidang perbankan. Bank Capital merupakan sebuah bank umum devisa berdasarkan Ijin Menteri Keuangan Republik Indonesia tanggal 25 Oktober1989 dan Bank Indonesia tanggal 26 Desember 1989. Bank Capital Indonesia Tbk memiliki 1 kantor pusat operasional, 4 kantor cabang dan 71 kantor cabang pembantu. Pada tanggal 20 September 2007, BACA memperoleh pernyataan efektif dari Bapepam-LK untuk melakukan melakukan Penawaran Umum Perdana </w:t>
      </w:r>
      <w:r w:rsidRPr="00E66C4F">
        <w:rPr>
          <w:color w:val="000000" w:themeColor="text1"/>
        </w:rPr>
        <w:lastRenderedPageBreak/>
        <w:t>Saham BACA (IPO) kepada masyarakat sebanyak 500.000.000 saham dengan nilai nominal Rp100,- per saham dengan harga penawaran perdana Rp150,- per saham. Saham-saham tersebut dicatatkan pada Bursa Efek Jakarta (sekarang Bursa Efek Indonesia) tanggal 04 Oktober 2007. Pada tanggal 24 Juni 2009, BACA memperoleh pernyataan efektif dari BAPEPAM-LK untuk melakukan Penawaran Umum Terbatas I ini dikeluarkan saham baru BACA sebanyak 3.021.764.416 saham dengan nilai nominal sebesar Rp100,- per saham dengan harga pelaksanaan Rp101,- per saham dan disertai 503.627.403 lembar Waran Seri I.</w:t>
      </w:r>
    </w:p>
    <w:p w:rsidR="00141F80" w:rsidRDefault="00F56AA0" w:rsidP="00D12EAA">
      <w:pPr>
        <w:pStyle w:val="NormalWeb"/>
        <w:numPr>
          <w:ilvl w:val="0"/>
          <w:numId w:val="7"/>
        </w:numPr>
        <w:jc w:val="both"/>
        <w:rPr>
          <w:color w:val="000000" w:themeColor="text1"/>
        </w:rPr>
      </w:pPr>
      <w:r>
        <w:rPr>
          <w:color w:val="000000" w:themeColor="text1"/>
        </w:rPr>
        <w:t xml:space="preserve">PT </w:t>
      </w:r>
      <w:r w:rsidR="00141F80" w:rsidRPr="00E66C4F">
        <w:rPr>
          <w:color w:val="000000" w:themeColor="text1"/>
        </w:rPr>
        <w:t>Bank Central Asia Tbk</w:t>
      </w:r>
    </w:p>
    <w:p w:rsidR="00D12EAA" w:rsidRDefault="005A3A47" w:rsidP="00831DD1">
      <w:pPr>
        <w:pStyle w:val="NormalWeb"/>
        <w:spacing w:line="480" w:lineRule="auto"/>
        <w:ind w:left="720" w:firstLine="720"/>
        <w:jc w:val="both"/>
        <w:rPr>
          <w:color w:val="000000" w:themeColor="text1"/>
        </w:rPr>
      </w:pPr>
      <w:r w:rsidRPr="00E66C4F">
        <w:rPr>
          <w:color w:val="000000" w:themeColor="text1"/>
        </w:rPr>
        <w:t>Bank Central Asia Tbk (Bank BCA) (</w:t>
      </w:r>
      <w:hyperlink r:id="rId7" w:tgtFrame="_blank" w:history="1">
        <w:r w:rsidRPr="00E66C4F">
          <w:rPr>
            <w:color w:val="000000" w:themeColor="text1"/>
          </w:rPr>
          <w:t>BBCA</w:t>
        </w:r>
      </w:hyperlink>
      <w:r w:rsidRPr="00E66C4F">
        <w:rPr>
          <w:color w:val="000000" w:themeColor="text1"/>
        </w:rPr>
        <w:t xml:space="preserve">) didirikan di Indonesia tanggal 10 Agustus 1955 dengan nama “N.V. Perseroan Dagang Dan Industrie Semarang Knitting Factory” dan mulai beroperasi di bidang perbankan sejak tanggal 12 Oktober 1956. Kantor pusat Bank BCA berlokasi di Menara BCA, Grand Indonesia, Jalan M.H. Thamrin No. 1, Jakarta 10310 — Indonesia. Pemegang saham yang memiliki 5% atau lebih saham Bank Central Asia Tbk (31-Mei-2023) adalah PT Dwimuria Investama Andalan (54,94%). Pemegang saham PT Dwimuria Investama Andalan adalah sdr. Robert Budi Hartono dan Sdr. Bambang Hartono, sehingga pengendali terakhir Bank BCA adalah sdr. Robert Budi Hartono dan Sdr. Bambang Hartono. Berdasarkan Anggaran Dasar Perusahaan, ruang lingkup kegiatan usaha Bank BCA adalah bergerak di bidang perbankan dan jasa keuangan lainnya. Saat ini, Bank BCA memiliki 1.247 </w:t>
      </w:r>
      <w:r w:rsidRPr="00E66C4F">
        <w:rPr>
          <w:color w:val="000000" w:themeColor="text1"/>
        </w:rPr>
        <w:lastRenderedPageBreak/>
        <w:t>cabang terdiri dari kantor wilayah, kantor non wilayah, kantor cabang dan termasuk kantor cabang pembantu kas di seluruh Indonesia serta 2 kantor perwakilan luar negeri yang berlokasi di Hong Kong dan Singapura. Bank Central Asia Tbk memperoleh izin untuk melakukan aktivitas-aktivitas tersebut berdasarkan Surat Keputusan Menteri Keuangan No. 42855/U.M.II tanggal 14 Maret 1957 dan memperoleh izin untuk melakukan kegiatan usaha devisa berdasarkan Surat Keputusan Direksi Bank Indonesia No. 9/110/Kep/Dir/UD tanggal 28 Maret 1977. Pada tanggal 11 Mei 2000, BBCA memperoleh pernyataan efektif dari BAPEPAM-LK untuk melakukan Penawaran Umum Saham Perdana BBCA (IPO) sebanyak 662.400.000 saham dengan jumlah nilai nominal Rp500,- dengan harga penawaran Rp1.400,- per saham, yang merupakan 22% dari modal saham yang ditempatkan dan disetor, sebagai bagian dari divestasi pemilikan saham Republik Indonesia yang diwakili oleh Badan Penyehatan Perbankan Nasional (BPPN). Penawaran umum ini dicatatkan pada Bursa Efek Jakarta dan Bursa Efek Surabaya pada tanggal 31 Mei 2000.</w:t>
      </w:r>
    </w:p>
    <w:p w:rsidR="00141F80" w:rsidRDefault="00D12EAA" w:rsidP="00D12EAA">
      <w:pPr>
        <w:pStyle w:val="NormalWeb"/>
        <w:numPr>
          <w:ilvl w:val="0"/>
          <w:numId w:val="7"/>
        </w:numPr>
        <w:jc w:val="both"/>
        <w:rPr>
          <w:color w:val="000000" w:themeColor="text1"/>
        </w:rPr>
      </w:pPr>
      <w:r>
        <w:rPr>
          <w:color w:val="000000" w:themeColor="text1"/>
        </w:rPr>
        <w:t xml:space="preserve">PT </w:t>
      </w:r>
      <w:r w:rsidR="00141F80" w:rsidRPr="002724AB">
        <w:rPr>
          <w:color w:val="000000" w:themeColor="text1"/>
        </w:rPr>
        <w:t>Bank Negara Indonesia (Persero) Tbk</w:t>
      </w:r>
    </w:p>
    <w:p w:rsidR="008B20D7" w:rsidRDefault="00C1017D" w:rsidP="00D12EAA">
      <w:pPr>
        <w:pStyle w:val="NormalWeb"/>
        <w:spacing w:line="480" w:lineRule="auto"/>
        <w:ind w:left="720" w:firstLine="720"/>
        <w:jc w:val="both"/>
        <w:rPr>
          <w:color w:val="000000" w:themeColor="text1"/>
        </w:rPr>
      </w:pPr>
      <w:r w:rsidRPr="002724AB">
        <w:rPr>
          <w:color w:val="000000" w:themeColor="text1"/>
        </w:rPr>
        <w:t>Bank Negara Indonesia (Persero) Tbk (Bank BNI) (</w:t>
      </w:r>
      <w:hyperlink r:id="rId8" w:tgtFrame="_blank" w:history="1">
        <w:r w:rsidRPr="002724AB">
          <w:rPr>
            <w:color w:val="000000" w:themeColor="text1"/>
          </w:rPr>
          <w:t>BBNI</w:t>
        </w:r>
      </w:hyperlink>
      <w:r w:rsidRPr="002724AB">
        <w:rPr>
          <w:color w:val="000000" w:themeColor="text1"/>
        </w:rPr>
        <w:t xml:space="preserve">) didirikan 05 Juli 1946 di Indonesia sebagai Bank Sentral. Pada tahun 1968, BNI ditetapkan menjadi “Bank Negara Indonesia 1946”, dan statusnya menjadi Bank Umum Milik Negara. Kantor pusat Bank BNI berlokasi di Jl. Jend. Sudirman Kav. 1, Jakarta 10220 – Indonesia. </w:t>
      </w:r>
      <w:r w:rsidRPr="00C1017D">
        <w:rPr>
          <w:color w:val="000000" w:themeColor="text1"/>
        </w:rPr>
        <w:t xml:space="preserve">Bank </w:t>
      </w:r>
      <w:r w:rsidRPr="00C1017D">
        <w:rPr>
          <w:color w:val="000000" w:themeColor="text1"/>
        </w:rPr>
        <w:lastRenderedPageBreak/>
        <w:t>BNI memiliki 195 kantor cabang, 1.097 kantor layanan serta 874 outlet lainnya. Selain itu, jaringan Bank BNI juga memiliki 5 kantor cabang luar negeri yaitu Singapura, Hong Kong, Tokyo, London dan Seoul serta 1 kantor perwakilan di New York.</w:t>
      </w:r>
      <w:r w:rsidRPr="002724AB">
        <w:rPr>
          <w:color w:val="000000" w:themeColor="text1"/>
        </w:rPr>
        <w:t xml:space="preserve"> Pemegang saham yang memiliki 5% atau lebih saham Bank Negara Indonesia (Persero) Tbk adalah Negara Republik Indonesia, dengan persentase kepemilikan sebesar 60,00%. </w:t>
      </w:r>
      <w:r w:rsidRPr="00C1017D">
        <w:rPr>
          <w:color w:val="000000" w:themeColor="text1"/>
        </w:rPr>
        <w:t>Berdasarkan Anggaran Dasar Perusahaan, ruang lingkup kegiatan Bank BNI adalah melakukan usaha di bidang perbankan (termasuk melakukan kegiatan berdasarkan prinsip syariah melalui anak usaha). Selain itu, Bank BNI juga menjalankan kegiatan usaha diluar perbankan melalui anak usahanya, antara lain: asuransi jiwa, pembiayaan, sekuritas dan jasa keuangan.</w:t>
      </w:r>
      <w:r w:rsidRPr="002724AB">
        <w:rPr>
          <w:color w:val="000000" w:themeColor="text1"/>
        </w:rPr>
        <w:t xml:space="preserve"> </w:t>
      </w:r>
      <w:r w:rsidRPr="00C1017D">
        <w:rPr>
          <w:color w:val="000000" w:themeColor="text1"/>
        </w:rPr>
        <w:t>Pada tanggal 28 Oktober 1996, BBNI memperoleh pernyataan efektif dari Bapepam-LK untuk melakukan Penawaran Umum Perdana Saham BBNI (IPO) Seri B kepada masyarakat sebanyak 1.085.032.000 dengan nilai nominal Rp500,- per saham dengan harga penawaran Rp850,- per saham. Saham-saham tersebut dicatatkan pada Bursa Efek Indonesia (BEI) pada tanggal 25 November 1996.</w:t>
      </w:r>
    </w:p>
    <w:p w:rsidR="00141F80" w:rsidRDefault="00D12EAA" w:rsidP="00D12EAA">
      <w:pPr>
        <w:pStyle w:val="NormalWeb"/>
        <w:numPr>
          <w:ilvl w:val="0"/>
          <w:numId w:val="7"/>
        </w:numPr>
        <w:jc w:val="both"/>
        <w:rPr>
          <w:color w:val="000000" w:themeColor="text1"/>
        </w:rPr>
      </w:pPr>
      <w:r>
        <w:rPr>
          <w:color w:val="000000" w:themeColor="text1"/>
        </w:rPr>
        <w:t xml:space="preserve">PT </w:t>
      </w:r>
      <w:r w:rsidR="00141F80" w:rsidRPr="008B20D7">
        <w:rPr>
          <w:color w:val="000000" w:themeColor="text1"/>
        </w:rPr>
        <w:t>Bank Rakyat Indonesia (Persero) Tbk</w:t>
      </w:r>
    </w:p>
    <w:p w:rsidR="008B20D7" w:rsidRDefault="00C1017D" w:rsidP="00D12EAA">
      <w:pPr>
        <w:pStyle w:val="NormalWeb"/>
        <w:spacing w:line="480" w:lineRule="auto"/>
        <w:ind w:left="720" w:firstLine="720"/>
        <w:jc w:val="both"/>
        <w:rPr>
          <w:color w:val="000000" w:themeColor="text1"/>
        </w:rPr>
      </w:pPr>
      <w:r w:rsidRPr="008B20D7">
        <w:rPr>
          <w:color w:val="000000" w:themeColor="text1"/>
        </w:rPr>
        <w:t>Bank Rakyat Indonesia (Persero) Tbk (Bank BRI) (</w:t>
      </w:r>
      <w:hyperlink r:id="rId9" w:tgtFrame="_blank" w:history="1">
        <w:r w:rsidRPr="008B20D7">
          <w:rPr>
            <w:color w:val="000000" w:themeColor="text1"/>
          </w:rPr>
          <w:t>BBRI</w:t>
        </w:r>
      </w:hyperlink>
      <w:r w:rsidRPr="008B20D7">
        <w:rPr>
          <w:color w:val="000000" w:themeColor="text1"/>
        </w:rPr>
        <w:t xml:space="preserve">) didirikan 16 Desember 1895. Kantor pusat Bank BRI berlokasi di Gedung BRI II Lt. 20, Jl. Jenderal Sudirman Kav. 44-46, Jakarta 10210 – Indonesia. Saat ini, Bank BRI memiliki 18 kantor wilayah, 1 kantor audit intern pusat, 18 kantor audit intern wilayah, 448 kantor cabang domestik, 1 </w:t>
      </w:r>
      <w:r w:rsidRPr="008B20D7">
        <w:rPr>
          <w:color w:val="000000" w:themeColor="text1"/>
        </w:rPr>
        <w:lastRenderedPageBreak/>
        <w:t xml:space="preserve">kantor cabang khusus, 579 kantor cabang pembantu, 3 kantor cabang pembantu di luar negeri, 906 kantor kas, 5.156 BRI unit, 1.487 teras &amp; teras keliling dan 4 teras kapal. Bank Rakyat Indonesia (Persero) Tbk juga memiliki 5 kantor cabang luar negeri yang berlokasi di New York, Cayman Islands, Singapura, Timor Leste dan Taipei, dan 1 kantor perwakilan yang berlokasi di Hong Kong. </w:t>
      </w:r>
      <w:r w:rsidR="00A366B9" w:rsidRPr="008B20D7">
        <w:rPr>
          <w:color w:val="000000" w:themeColor="text1"/>
        </w:rPr>
        <w:t>Pemegang saham pengendali Bank Rakyat Indonesia (Persero) Tbk adalah Pemerintah Republik Indonesia, dengan memiliki 1 Saham Preferen (Saham Seri A Dwiwarna) dan 53,19% di saham Seri B. Berdasarkan Anggaran Dasar Perusahaan, ruang lingkup kegiatan BBRI adalah melakukan usaha di bidang perbankan serta optimalisasi pemanfaatan sumber daya yang dimiliki BRI untuk menghasilkan jasa yang bermutu tinggi dan berdaya saing kuat untuk mendapat keuntungan guna meningkatkan nilai perusahaan dengan menerapkan prinsip-prinsip Perseroan Terbatas. Bank BRI memiliki 10 anak usaha yaitu </w:t>
      </w:r>
      <w:hyperlink r:id="rId10" w:tgtFrame="_blank" w:history="1">
        <w:r w:rsidR="00A366B9" w:rsidRPr="008B20D7">
          <w:rPr>
            <w:color w:val="000000" w:themeColor="text1"/>
          </w:rPr>
          <w:t>Bank Raya Indonesia Tbk (AGRO / Bank Raya)</w:t>
        </w:r>
      </w:hyperlink>
      <w:r w:rsidR="00A366B9" w:rsidRPr="008B20D7">
        <w:rPr>
          <w:color w:val="000000" w:themeColor="text1"/>
        </w:rPr>
        <w:t> (86,85%), BRI Remittance Co. Ltd. Hong Kong (100,00%), PT Asuransi BRI Life (BRI Life) (dahulu PT Asuransi Jiwa Bringin Jiwa Sejahtera atau Bringin Life) (59,02%), PT BRI Multifinance Indonesia (BRI Finance) (99,88%), </w:t>
      </w:r>
      <w:hyperlink r:id="rId11" w:tgtFrame="_blank" w:history="1">
        <w:r w:rsidR="00A366B9" w:rsidRPr="008B20D7">
          <w:rPr>
            <w:color w:val="000000" w:themeColor="text1"/>
          </w:rPr>
          <w:t>PT BRI Danareksa Sekuritas (BRI DS)</w:t>
        </w:r>
      </w:hyperlink>
      <w:r w:rsidR="00A366B9" w:rsidRPr="008B20D7">
        <w:rPr>
          <w:color w:val="000000" w:themeColor="text1"/>
        </w:rPr>
        <w:t xml:space="preserve"> (dahulu PT Danareksa Sekuritas) (67,00%), PT BRI Ventura Investama (BRI Ventures) (99,97%), PT BRI Asuransi Indonesia (BRI Insurance) (90,00%), PT Pegadaian (99,99%), PT Permodalan Nasional Madani (99,99%) dan PT Danareksa Investment Management (65,00%). Selain itu, </w:t>
      </w:r>
      <w:r w:rsidR="00A366B9" w:rsidRPr="008B20D7">
        <w:rPr>
          <w:color w:val="000000" w:themeColor="text1"/>
        </w:rPr>
        <w:lastRenderedPageBreak/>
        <w:t>Bank BRI memiliki 2 Perusahaan Asosiasi yaitu </w:t>
      </w:r>
      <w:hyperlink r:id="rId12" w:tgtFrame="_blank" w:history="1">
        <w:r w:rsidR="00A366B9" w:rsidRPr="008B20D7">
          <w:rPr>
            <w:color w:val="000000" w:themeColor="text1"/>
          </w:rPr>
          <w:t>Bank Syariah Indonesia Tbk (BRIS)</w:t>
        </w:r>
      </w:hyperlink>
      <w:r w:rsidR="00A366B9" w:rsidRPr="008B20D7">
        <w:rPr>
          <w:color w:val="000000" w:themeColor="text1"/>
        </w:rPr>
        <w:t> (15,38%) dan PT Bahana Artha Ventura (15,10%). Pada tanggal 31 Oktober 2003, BBRI memperoleh pernyataan efektif dari Bapepam-LK untuk melakukan Penawaran Umum Perdana Saham BBRI (IPO) kepada masyarakat sebanyak 3.811.765.000 dengan nilai nominal Rp500,- per saham dengan harga penawaran Rp875,- per saham. Selanjutnya, opsi pemesanan lebih sejumlah 381.176.000 lembar saham dan opsi penjatahan lebih sejumlah 571.764.000 lembar saham masing-masing dengan harga Rp875,- setiap lembar saham telah dilaksanakan masing-masing pada tanggal 10 November 2003 dan 3 Desember 2003. Setelah IPO BRI dan opsi pemesanan lebih dan opsi penjatahan lebih dilaksanakan oleh Penjamin Pelaksana Emisi, Negara Republik Indonesia memiliki 59,50% saham di BRI. Saham-saham tersebut dicatatkan pada Bursa Efek Indonesia (BEI) pada tanggal 10 November 2003.</w:t>
      </w:r>
    </w:p>
    <w:p w:rsidR="00141F80" w:rsidRDefault="00D12EAA" w:rsidP="00D12EAA">
      <w:pPr>
        <w:pStyle w:val="NormalWeb"/>
        <w:numPr>
          <w:ilvl w:val="0"/>
          <w:numId w:val="7"/>
        </w:numPr>
        <w:jc w:val="both"/>
        <w:rPr>
          <w:color w:val="000000" w:themeColor="text1"/>
        </w:rPr>
      </w:pPr>
      <w:r>
        <w:rPr>
          <w:color w:val="000000" w:themeColor="text1"/>
        </w:rPr>
        <w:t xml:space="preserve">PT </w:t>
      </w:r>
      <w:r w:rsidR="00141F80" w:rsidRPr="008B20D7">
        <w:rPr>
          <w:color w:val="000000" w:themeColor="text1"/>
        </w:rPr>
        <w:t>Bank Tabungan Negara (Persero) Tbk</w:t>
      </w:r>
    </w:p>
    <w:p w:rsidR="008B20D7" w:rsidRDefault="00A366B9" w:rsidP="00D12EAA">
      <w:pPr>
        <w:pStyle w:val="NormalWeb"/>
        <w:spacing w:line="480" w:lineRule="auto"/>
        <w:ind w:left="720" w:firstLine="720"/>
        <w:jc w:val="both"/>
        <w:rPr>
          <w:color w:val="000000" w:themeColor="text1"/>
        </w:rPr>
      </w:pPr>
      <w:r w:rsidRPr="008B20D7">
        <w:rPr>
          <w:color w:val="000000" w:themeColor="text1"/>
        </w:rPr>
        <w:t>Bank Tabungan Negara (Persero) Tbk (Bank BTN) (</w:t>
      </w:r>
      <w:hyperlink r:id="rId13" w:tgtFrame="_blank" w:history="1">
        <w:r w:rsidRPr="008B20D7">
          <w:rPr>
            <w:color w:val="000000" w:themeColor="text1"/>
          </w:rPr>
          <w:t>BBTN</w:t>
        </w:r>
      </w:hyperlink>
      <w:r w:rsidRPr="008B20D7">
        <w:rPr>
          <w:color w:val="000000" w:themeColor="text1"/>
        </w:rPr>
        <w:t xml:space="preserve">) didirikan 09 Februari 1950 dengan nama “Bank Tabungan Pos”. Kantor pusat Bank BTN berlokasi di Jalan Gajah Mada No. 1, Jakarta Pusat 10130 – Indonesia. Bank BTN memiliki 108 kantor cabang (termasuk 29 kantor cabang syariah), 401 cabang pembantu (termasuk 61 kantor cabang pembantu syariah), 210 kantor kas (termasuk 7 kantor kas syariah), dan 2.989 SOPP (System on-line Payment Point/Kantor Pos on-line). Pemegang saham pengendali dan Pemegang saham yang memiliki 5% </w:t>
      </w:r>
      <w:r w:rsidRPr="008B20D7">
        <w:rPr>
          <w:color w:val="000000" w:themeColor="text1"/>
        </w:rPr>
        <w:lastRenderedPageBreak/>
        <w:t>atau lebih saham Bank Tabungan Negara (Persero) Tbk adalah Negara Republik Indonesia, dengan memiliki 1 Saham Preferen (Saham Seri A Dwiwarna) dan 60,00% di saham Seri B. Berdasarkan Anggaran Dasar Perusahaan, ruang lingkup kegiatan Bank BTN adalah menjalankan kegiatan umum perbankan, termasuk melakukan kegiatan Bank berdasarkan prinsip syariah. Bank BTN mulai melakukan kegiatan berdasarkan prinsip syariah sejak 14 Februari 2005. Pada tanggal 08 Desember 2009, BBTN memperoleh pernyataan efektif dari Bapepam-LK untuk melakukan Penawaran Umum Perdana Saham BBTN (IPO) Seri B kepada masyarakat sebanyak 2.360.057.000 dengan nilai nominal Rp500,- per saham dengan harga penawaran Rp800,- per saham. Saham-saham tersebut dicatatkan pada Bursa Efek Indonesia (BEI) pada tanggal 17 Desember 2009.</w:t>
      </w:r>
    </w:p>
    <w:p w:rsidR="00141F80" w:rsidRPr="00141F80" w:rsidRDefault="003A7D4A" w:rsidP="003A7D4A">
      <w:pPr>
        <w:pStyle w:val="NormalWeb"/>
        <w:numPr>
          <w:ilvl w:val="0"/>
          <w:numId w:val="7"/>
        </w:numPr>
        <w:jc w:val="both"/>
        <w:rPr>
          <w:color w:val="000000" w:themeColor="text1"/>
        </w:rPr>
      </w:pPr>
      <w:r>
        <w:rPr>
          <w:color w:val="000000" w:themeColor="text1"/>
          <w:shd w:val="clear" w:color="auto" w:fill="FFFFFF"/>
        </w:rPr>
        <w:t xml:space="preserve">PT </w:t>
      </w:r>
      <w:r w:rsidR="00141F80" w:rsidRPr="008B20D7">
        <w:rPr>
          <w:color w:val="000000" w:themeColor="text1"/>
          <w:shd w:val="clear" w:color="auto" w:fill="FFFFFF"/>
        </w:rPr>
        <w:t>Bank Yudha Bhakti Tbk</w:t>
      </w:r>
    </w:p>
    <w:p w:rsidR="008B20D7" w:rsidRDefault="00E80DFA" w:rsidP="003A7D4A">
      <w:pPr>
        <w:pStyle w:val="NormalWeb"/>
        <w:spacing w:line="480" w:lineRule="auto"/>
        <w:ind w:left="720" w:firstLine="720"/>
        <w:jc w:val="both"/>
        <w:rPr>
          <w:color w:val="000000" w:themeColor="text1"/>
        </w:rPr>
      </w:pPr>
      <w:r w:rsidRPr="008B20D7">
        <w:rPr>
          <w:color w:val="000000" w:themeColor="text1"/>
          <w:shd w:val="clear" w:color="auto" w:fill="FFFFFF"/>
        </w:rPr>
        <w:t>Bank Neo Commerce Tbk atau Neobank (dahulu Bank Yudha Bhakti Tbk) (</w:t>
      </w:r>
      <w:hyperlink r:id="rId14" w:tgtFrame="_blank" w:history="1">
        <w:r w:rsidRPr="008B20D7">
          <w:rPr>
            <w:rStyle w:val="Hyperlink"/>
            <w:color w:val="000000" w:themeColor="text1"/>
            <w:shd w:val="clear" w:color="auto" w:fill="FFFFFF"/>
          </w:rPr>
          <w:t>BBYB</w:t>
        </w:r>
      </w:hyperlink>
      <w:r w:rsidRPr="008B20D7">
        <w:rPr>
          <w:color w:val="000000" w:themeColor="text1"/>
          <w:shd w:val="clear" w:color="auto" w:fill="FFFFFF"/>
        </w:rPr>
        <w:t xml:space="preserve">) didirikan pada tanggal 19 September 1989 dan mulai beroperasi secara komersial pada tanggal 9 Januari 1990. Kantor pusat Bank Neo Commerce Tbk berlokasi di Treasury Tower Lantai 60 Jl. Jendral Sudirman Kav. 52-53, Senayan, Kebayoran Baru, Jakarta Selatan, DKI Jakarta 12190 – Indonesia dan memiliki 6 kantor cabang dan 2 kantor cabang pembantu. Pemegang saham yang memiliki 5% atau lebih saham Bank Neo Commerce Tbk (27-Mar-2023), yaitu: PT Akulaku Silvrr (26,32%), PT Gozco Capital (10,53%) dan Rockcore Financial </w:t>
      </w:r>
      <w:r w:rsidRPr="008B20D7">
        <w:rPr>
          <w:color w:val="000000" w:themeColor="text1"/>
          <w:shd w:val="clear" w:color="auto" w:fill="FFFFFF"/>
        </w:rPr>
        <w:lastRenderedPageBreak/>
        <w:t xml:space="preserve">Technology Co. Ltd. (6,12%). </w:t>
      </w:r>
      <w:r w:rsidRPr="008B20D7">
        <w:rPr>
          <w:color w:val="000000" w:themeColor="text1"/>
        </w:rPr>
        <w:t>Pihak pengendali dan pemilik manfaat sebenarnya (ultimate beneficial owner) Bank Neo Commerce Tbk adalah Li Wenbo dan Hu Bo. Berdasarkan Anggaran Dasar Perusahaan, ruang lingkup kegiatan BBYB adalah bergerak dalam bidang usaha perbankan, dengan fokus utama ekosistem keuangan yang terintegrasi dengan teknologi digital. Bank Neo Commerce Tbk memperoleh izin sebagai bank umum pada tanggal 09 Desember 1989 dari Menteri Keuangan Republik Indonesia. Pada tanggal 31 Desember 2014, BBYB memperoleh pernyataan efektif dari Otoritas Jasa Keuangan (OJK) untuk melakukan </w:t>
      </w:r>
      <w:hyperlink r:id="rId15" w:tgtFrame="_blank" w:history="1">
        <w:r w:rsidRPr="008B20D7">
          <w:rPr>
            <w:color w:val="000000" w:themeColor="text1"/>
          </w:rPr>
          <w:t>Penawaran Umum Perdana Saham BBYB (IPO)</w:t>
        </w:r>
      </w:hyperlink>
      <w:r w:rsidRPr="008B20D7">
        <w:rPr>
          <w:color w:val="000000" w:themeColor="text1"/>
        </w:rPr>
        <w:t> kepada masyarakat sebanyak 300.000.000 dengan nilai nominal Rp100,- per saham dengan harga penawaran Rp115,- per saham. Saham-saham tersebut dicatatkan pada Bursa Efek Indonesia (BEI) pada tanggal 13 Januari 2015.</w:t>
      </w:r>
    </w:p>
    <w:p w:rsidR="00DE196D" w:rsidRPr="00DE196D" w:rsidRDefault="003A7D4A" w:rsidP="003A7D4A">
      <w:pPr>
        <w:pStyle w:val="NormalWeb"/>
        <w:numPr>
          <w:ilvl w:val="0"/>
          <w:numId w:val="7"/>
        </w:numPr>
        <w:jc w:val="both"/>
        <w:rPr>
          <w:color w:val="000000" w:themeColor="text1"/>
        </w:rPr>
      </w:pPr>
      <w:r>
        <w:rPr>
          <w:color w:val="000000" w:themeColor="text1"/>
          <w:shd w:val="clear" w:color="auto" w:fill="FFFFFF"/>
        </w:rPr>
        <w:t xml:space="preserve">PT </w:t>
      </w:r>
      <w:r w:rsidR="00DE196D" w:rsidRPr="008B20D7">
        <w:rPr>
          <w:color w:val="000000" w:themeColor="text1"/>
          <w:shd w:val="clear" w:color="auto" w:fill="FFFFFF"/>
        </w:rPr>
        <w:t>Bank JTrust Indonesia Tbk</w:t>
      </w:r>
    </w:p>
    <w:p w:rsidR="008B20D7" w:rsidRDefault="00E80DFA" w:rsidP="003A7D4A">
      <w:pPr>
        <w:pStyle w:val="NormalWeb"/>
        <w:spacing w:line="480" w:lineRule="auto"/>
        <w:ind w:left="720" w:firstLine="360"/>
        <w:jc w:val="both"/>
        <w:rPr>
          <w:color w:val="000000" w:themeColor="text1"/>
        </w:rPr>
      </w:pPr>
      <w:r w:rsidRPr="008B20D7">
        <w:rPr>
          <w:color w:val="000000" w:themeColor="text1"/>
          <w:shd w:val="clear" w:color="auto" w:fill="FFFFFF"/>
        </w:rPr>
        <w:t>Bank JTrust Indonesia Tbk (J Trust Bank) (</w:t>
      </w:r>
      <w:hyperlink r:id="rId16" w:tgtFrame="_blank" w:history="1">
        <w:r w:rsidRPr="008B20D7">
          <w:rPr>
            <w:rStyle w:val="Hyperlink"/>
            <w:color w:val="000000" w:themeColor="text1"/>
            <w:shd w:val="clear" w:color="auto" w:fill="FFFFFF"/>
          </w:rPr>
          <w:t>BCIC</w:t>
        </w:r>
      </w:hyperlink>
      <w:r w:rsidRPr="008B20D7">
        <w:rPr>
          <w:color w:val="000000" w:themeColor="text1"/>
          <w:shd w:val="clear" w:color="auto" w:fill="FFFFFF"/>
        </w:rPr>
        <w:t xml:space="preserve">) didirikan 30 Mei 1989 dengan nama PT Bank Century Intervest Corporation dan mulai beroperasi secara komersial pada bulan April 1990. Kantor pusat Bank JTrust Indonesia Tbk berlokasi di Gedung Sahit Sudirman Center, Lt. 33, Jln Jend Sudirman No. 86, Jakarta Pusat 10220 – Indonesia. Bank JTrust memiliki 22 kantor cabang dan 20 kantor cabang pembantu. </w:t>
      </w:r>
      <w:r w:rsidRPr="008B20D7">
        <w:rPr>
          <w:color w:val="000000" w:themeColor="text1"/>
        </w:rPr>
        <w:t>BCIC beberapa kali melakukan perubahan nama, antara lain:</w:t>
      </w:r>
    </w:p>
    <w:p w:rsidR="008B20D7" w:rsidRDefault="00E80DFA" w:rsidP="00DE692E">
      <w:pPr>
        <w:pStyle w:val="NormalWeb"/>
        <w:numPr>
          <w:ilvl w:val="0"/>
          <w:numId w:val="12"/>
        </w:numPr>
        <w:spacing w:line="480" w:lineRule="auto"/>
        <w:jc w:val="both"/>
        <w:rPr>
          <w:color w:val="000000" w:themeColor="text1"/>
        </w:rPr>
      </w:pPr>
      <w:r w:rsidRPr="008B20D7">
        <w:rPr>
          <w:color w:val="000000" w:themeColor="text1"/>
        </w:rPr>
        <w:lastRenderedPageBreak/>
        <w:t>PT Bank Century Intervest Corporation, 1989</w:t>
      </w:r>
    </w:p>
    <w:p w:rsidR="008B20D7" w:rsidRDefault="00E80DFA" w:rsidP="00DE692E">
      <w:pPr>
        <w:pStyle w:val="NormalWeb"/>
        <w:numPr>
          <w:ilvl w:val="0"/>
          <w:numId w:val="12"/>
        </w:numPr>
        <w:spacing w:line="480" w:lineRule="auto"/>
        <w:jc w:val="both"/>
        <w:rPr>
          <w:color w:val="000000" w:themeColor="text1"/>
        </w:rPr>
      </w:pPr>
      <w:r w:rsidRPr="00E80DFA">
        <w:rPr>
          <w:color w:val="000000" w:themeColor="text1"/>
        </w:rPr>
        <w:t>Bank CIC International Tbk,</w:t>
      </w:r>
    </w:p>
    <w:p w:rsidR="008B20D7" w:rsidRDefault="00E80DFA" w:rsidP="00DE692E">
      <w:pPr>
        <w:pStyle w:val="NormalWeb"/>
        <w:numPr>
          <w:ilvl w:val="0"/>
          <w:numId w:val="12"/>
        </w:numPr>
        <w:spacing w:line="480" w:lineRule="auto"/>
        <w:jc w:val="both"/>
        <w:rPr>
          <w:color w:val="000000" w:themeColor="text1"/>
        </w:rPr>
      </w:pPr>
      <w:r w:rsidRPr="00E80DFA">
        <w:rPr>
          <w:color w:val="000000" w:themeColor="text1"/>
        </w:rPr>
        <w:t>Bank Century Tbk, 2004</w:t>
      </w:r>
    </w:p>
    <w:p w:rsidR="008B20D7" w:rsidRDefault="00E80DFA" w:rsidP="00DE692E">
      <w:pPr>
        <w:pStyle w:val="NormalWeb"/>
        <w:numPr>
          <w:ilvl w:val="0"/>
          <w:numId w:val="12"/>
        </w:numPr>
        <w:spacing w:line="480" w:lineRule="auto"/>
        <w:jc w:val="both"/>
        <w:rPr>
          <w:color w:val="000000" w:themeColor="text1"/>
        </w:rPr>
      </w:pPr>
      <w:r w:rsidRPr="00E80DFA">
        <w:rPr>
          <w:color w:val="000000" w:themeColor="text1"/>
        </w:rPr>
        <w:t>Bank Mutiara Tbk, 2009</w:t>
      </w:r>
    </w:p>
    <w:p w:rsidR="008B20D7" w:rsidRDefault="00E80DFA" w:rsidP="00DE692E">
      <w:pPr>
        <w:pStyle w:val="NormalWeb"/>
        <w:numPr>
          <w:ilvl w:val="0"/>
          <w:numId w:val="12"/>
        </w:numPr>
        <w:spacing w:line="480" w:lineRule="auto"/>
        <w:jc w:val="both"/>
        <w:rPr>
          <w:color w:val="000000" w:themeColor="text1"/>
        </w:rPr>
      </w:pPr>
      <w:r w:rsidRPr="00E80DFA">
        <w:rPr>
          <w:color w:val="000000" w:themeColor="text1"/>
        </w:rPr>
        <w:t xml:space="preserve">Bank JTrust Indonesia Tbk, per 24 </w:t>
      </w:r>
      <w:r w:rsidR="008B20D7">
        <w:rPr>
          <w:color w:val="000000" w:themeColor="text1"/>
        </w:rPr>
        <w:t>Juni 2015.</w:t>
      </w:r>
    </w:p>
    <w:p w:rsidR="008B20D7" w:rsidRDefault="00E80DFA" w:rsidP="008B20D7">
      <w:pPr>
        <w:pStyle w:val="NormalWeb"/>
        <w:spacing w:line="480" w:lineRule="auto"/>
        <w:ind w:left="720"/>
        <w:jc w:val="both"/>
        <w:rPr>
          <w:color w:val="000000" w:themeColor="text1"/>
        </w:rPr>
      </w:pPr>
      <w:r w:rsidRPr="00E80DFA">
        <w:rPr>
          <w:color w:val="000000" w:themeColor="text1"/>
        </w:rPr>
        <w:t>Pemegang saham yang memiliki 5% atau lebih saham Bank JTrust Indonesia Tbk (28-Feb-2021), adalah J Trust Co., Ltd., Jepang (74,225%) dan J Trust Asia Pte. Ltd., Singapura (19,316%).</w:t>
      </w:r>
      <w:r w:rsidRPr="002724AB">
        <w:rPr>
          <w:color w:val="000000" w:themeColor="text1"/>
        </w:rPr>
        <w:t xml:space="preserve"> </w:t>
      </w:r>
      <w:r w:rsidRPr="00E80DFA">
        <w:rPr>
          <w:color w:val="000000" w:themeColor="text1"/>
        </w:rPr>
        <w:t>Pemilik manfaat akhir (ultimate beneficial owner) Bank JTrust Indonesia Tbk adalah Nobuyoshi Fujisawa.</w:t>
      </w:r>
      <w:r w:rsidRPr="002724AB">
        <w:rPr>
          <w:color w:val="000000" w:themeColor="text1"/>
        </w:rPr>
        <w:t xml:space="preserve"> </w:t>
      </w:r>
      <w:r w:rsidRPr="00E80DFA">
        <w:rPr>
          <w:color w:val="000000" w:themeColor="text1"/>
        </w:rPr>
        <w:t>Bank JTrust Indonesia Tbk melakukan penggabungan (merger) dengan Bank Danpac Tbk dan Bank Pikko Tbk dalam bulan Oktober 2004. Saat, merger Bank JTrust Indonesia Tbk masih bernama Bank CIC International Tbk (bank yang menerima penggabungan).</w:t>
      </w:r>
      <w:r w:rsidRPr="002724AB">
        <w:rPr>
          <w:color w:val="000000" w:themeColor="text1"/>
        </w:rPr>
        <w:t xml:space="preserve"> </w:t>
      </w:r>
      <w:r w:rsidRPr="00E80DFA">
        <w:rPr>
          <w:color w:val="000000" w:themeColor="text1"/>
        </w:rPr>
        <w:t>Berdasarkan Anggaran Dasar Perusahaan, ruang lingkup kegiatan BCIC adalah menjalankan kegiatan umum perbankan. Bank JTrust Indonesia memperoleh izin sebagai bank devisa dari Bank Indonesia pada tanggal 24 April 1993.</w:t>
      </w:r>
      <w:r w:rsidRPr="002724AB">
        <w:rPr>
          <w:color w:val="000000" w:themeColor="text1"/>
        </w:rPr>
        <w:t xml:space="preserve"> </w:t>
      </w:r>
      <w:r w:rsidRPr="00E80DFA">
        <w:rPr>
          <w:color w:val="000000" w:themeColor="text1"/>
        </w:rPr>
        <w:t>Pada tanggal 03 Juni 1997, BCIC memperoleh pernyataan efektif dari BAPEPAM untuk melakukan Penawaran Umum Perdana Saham BCIC (IPO) kepada masyarakat sebanyak 70.000.000 dengan nilai nominal Rp500,- per saham dengan harga penawaran Rp900,- per saham. Saham-saham tersebut dicatatkan pada Bursa Efek Indonesia (BEI) pada tanggal 25 Juni 1997.</w:t>
      </w:r>
    </w:p>
    <w:p w:rsidR="00DE196D" w:rsidRDefault="003A7D4A" w:rsidP="003A7D4A">
      <w:pPr>
        <w:pStyle w:val="NormalWeb"/>
        <w:numPr>
          <w:ilvl w:val="0"/>
          <w:numId w:val="7"/>
        </w:numPr>
        <w:jc w:val="both"/>
        <w:rPr>
          <w:color w:val="000000" w:themeColor="text1"/>
        </w:rPr>
      </w:pPr>
      <w:r>
        <w:rPr>
          <w:color w:val="000000" w:themeColor="text1"/>
        </w:rPr>
        <w:lastRenderedPageBreak/>
        <w:t xml:space="preserve">PT </w:t>
      </w:r>
      <w:r w:rsidR="00DE196D" w:rsidRPr="002724AB">
        <w:rPr>
          <w:color w:val="000000" w:themeColor="text1"/>
        </w:rPr>
        <w:t>Bank Danamon Indonesia Tbk</w:t>
      </w:r>
    </w:p>
    <w:p w:rsidR="008B20D7" w:rsidRDefault="009F5199" w:rsidP="003A7D4A">
      <w:pPr>
        <w:pStyle w:val="NormalWeb"/>
        <w:spacing w:line="480" w:lineRule="auto"/>
        <w:ind w:left="720" w:firstLine="720"/>
        <w:jc w:val="both"/>
        <w:rPr>
          <w:color w:val="000000" w:themeColor="text1"/>
        </w:rPr>
      </w:pPr>
      <w:r w:rsidRPr="002724AB">
        <w:rPr>
          <w:color w:val="000000" w:themeColor="text1"/>
        </w:rPr>
        <w:t>Bank Danamon Indonesia Tbk (</w:t>
      </w:r>
      <w:hyperlink r:id="rId17" w:tgtFrame="_blank" w:history="1">
        <w:r w:rsidRPr="002724AB">
          <w:rPr>
            <w:color w:val="000000" w:themeColor="text1"/>
          </w:rPr>
          <w:t>BDMN</w:t>
        </w:r>
      </w:hyperlink>
      <w:r w:rsidRPr="002724AB">
        <w:rPr>
          <w:color w:val="000000" w:themeColor="text1"/>
        </w:rPr>
        <w:t xml:space="preserve">) didirikan 16 Juli 1956 dengan nama PT Bank Kopra Indonesia. Kantor pusat Bank Danamon Indonesia Tbk berlokasi di Menara Bank Danamon, Jl. HR. Rasuna Said Blok C No. 10, RT 010 / RW 007, Kel. Karet, Kec. Setiabudi, Jakarta 12920 – Indonesia. </w:t>
      </w:r>
      <w:r w:rsidRPr="009F5199">
        <w:rPr>
          <w:color w:val="000000" w:themeColor="text1"/>
        </w:rPr>
        <w:t>Pemegang saham yang memiliki 5% atau lebih saham Bank Danamon Indonesia Tbk (28-Feb-2022), yaitu: MUFG Bank, Ltd., dengan persentase kepemilikan sebesar 92,47% dimiliki secara langsung &amp; tidak langsung.</w:t>
      </w:r>
      <w:r w:rsidRPr="002724AB">
        <w:rPr>
          <w:color w:val="000000" w:themeColor="text1"/>
        </w:rPr>
        <w:t xml:space="preserve"> Penerima manfaat akhir dari kepemilikan saham (ultimate beneficial ownership) dari Bank Danamon Indonesia Tbk adalah Takayoshi Futae. </w:t>
      </w:r>
      <w:r w:rsidRPr="009F5199">
        <w:rPr>
          <w:color w:val="000000" w:themeColor="text1"/>
        </w:rPr>
        <w:t>Berdasarkan Anggaran Dasar Perusahaan, ruang lingkup kegiatan BDMN adalah menjalankan kegiatan usaha di bidang perbankan dan melakukan kegiatan perbankan lainnya berdasarkan prinsip Syariah. BDMN mulai melakukan kegiatan berdasarkan prinsip Syariah tersebut sejak tahun 2002.</w:t>
      </w:r>
      <w:r w:rsidRPr="002724AB">
        <w:rPr>
          <w:color w:val="000000" w:themeColor="text1"/>
        </w:rPr>
        <w:t xml:space="preserve"> </w:t>
      </w:r>
      <w:r w:rsidRPr="009F5199">
        <w:rPr>
          <w:color w:val="000000" w:themeColor="text1"/>
        </w:rPr>
        <w:t>Bank Danamon memperoleh izin usaha sebagai bank umum, bank devisa, dan bank yang melakukan kegiatan berdasarkan prinsip Syariah masing-masing berdasarkan surat keputusan Menteri Keuangan No.161259/U.M.II tanggal 30 September 1958, surat keputusan Direksi Bank Indonesia (BI) No.21/10/Dir/UPPS tanggal 5 November 1988 dan Surat Direktorat Perizinan dan Informasi Perbankan No.3/744/DPIP/Prz tanggal 31 Desember 2001.</w:t>
      </w:r>
      <w:r w:rsidRPr="002724AB">
        <w:rPr>
          <w:color w:val="000000" w:themeColor="text1"/>
        </w:rPr>
        <w:t xml:space="preserve"> Bank Danamon memiliki 41 kantor cabang utama domestik, 369 kantor cabang pembantu konvensional, kantor kas dan kantor fungsional, 14 kantor cabang utama </w:t>
      </w:r>
      <w:r w:rsidRPr="002724AB">
        <w:rPr>
          <w:color w:val="000000" w:themeColor="text1"/>
        </w:rPr>
        <w:lastRenderedPageBreak/>
        <w:t xml:space="preserve">dan kantor cabang pembantu syariah. </w:t>
      </w:r>
      <w:r w:rsidRPr="009F5199">
        <w:rPr>
          <w:color w:val="000000" w:themeColor="text1"/>
        </w:rPr>
        <w:t>Pada tanggal 24 Oktober 1989, BDMN memperoleh pernyataan efektif dari Menteri Keuangan untuk melakukan Penawaran Umum Perdana Saham BDMN (IPO) kepada masyarakat sebanyak 12.000.000 dengan nilai nominal Rp1.000,- per saham dengan harga penawaran Rp12.000,- per saham. Saham-saham tersebut dicatatkan pada Bursa Efek Indonesia (BEI) pada tanggal 06 Desember 1989.</w:t>
      </w:r>
    </w:p>
    <w:p w:rsidR="007D7A7D" w:rsidRPr="007D7A7D" w:rsidRDefault="003A7D4A" w:rsidP="003A7D4A">
      <w:pPr>
        <w:pStyle w:val="NormalWeb"/>
        <w:numPr>
          <w:ilvl w:val="0"/>
          <w:numId w:val="7"/>
        </w:numPr>
        <w:jc w:val="both"/>
        <w:rPr>
          <w:color w:val="000000" w:themeColor="text1"/>
        </w:rPr>
      </w:pPr>
      <w:r>
        <w:rPr>
          <w:color w:val="000000" w:themeColor="text1"/>
          <w:shd w:val="clear" w:color="auto" w:fill="FFFFFF"/>
        </w:rPr>
        <w:t xml:space="preserve">PT </w:t>
      </w:r>
      <w:r w:rsidR="007D7A7D" w:rsidRPr="008B20D7">
        <w:rPr>
          <w:color w:val="000000" w:themeColor="text1"/>
          <w:shd w:val="clear" w:color="auto" w:fill="FFFFFF"/>
        </w:rPr>
        <w:t>Bank Pembangunan Daerah Banten Tbk</w:t>
      </w:r>
    </w:p>
    <w:p w:rsidR="008B20D7" w:rsidRDefault="009F5199" w:rsidP="003A7D4A">
      <w:pPr>
        <w:pStyle w:val="NormalWeb"/>
        <w:spacing w:line="480" w:lineRule="auto"/>
        <w:ind w:left="720" w:firstLine="360"/>
        <w:jc w:val="both"/>
        <w:rPr>
          <w:color w:val="000000" w:themeColor="text1"/>
        </w:rPr>
      </w:pPr>
      <w:r w:rsidRPr="008B20D7">
        <w:rPr>
          <w:color w:val="000000" w:themeColor="text1"/>
          <w:shd w:val="clear" w:color="auto" w:fill="FFFFFF"/>
        </w:rPr>
        <w:t>Bank Pembangunan Daerah Banten Tbk (BPD Banten / Bank Banten) (</w:t>
      </w:r>
      <w:hyperlink r:id="rId18" w:tgtFrame="_blank" w:history="1">
        <w:r w:rsidRPr="008B20D7">
          <w:rPr>
            <w:rStyle w:val="Hyperlink"/>
            <w:color w:val="000000" w:themeColor="text1"/>
            <w:shd w:val="clear" w:color="auto" w:fill="FFFFFF"/>
          </w:rPr>
          <w:t>BEKS</w:t>
        </w:r>
      </w:hyperlink>
      <w:r w:rsidRPr="008B20D7">
        <w:rPr>
          <w:color w:val="000000" w:themeColor="text1"/>
          <w:shd w:val="clear" w:color="auto" w:fill="FFFFFF"/>
        </w:rPr>
        <w:t xml:space="preserve">) didirikan 11 September 1992 dengan nama PT Executive International Bank dan memulai aktivitas operasi pada tanggal 9 Agustus 1993. Kantor pusat BEKS berlokasi di Jl. Fatmawati No. 12 Jakarta dan memiliki 48 kantor cabang serta 53 kantor cabang pembantu. </w:t>
      </w:r>
      <w:r w:rsidRPr="008B20D7">
        <w:rPr>
          <w:color w:val="000000" w:themeColor="text1"/>
        </w:rPr>
        <w:t>BEKS beberapa kali melakukan perubahan nama, antara lain:</w:t>
      </w:r>
    </w:p>
    <w:p w:rsidR="008B20D7" w:rsidRDefault="009F5199" w:rsidP="00DE692E">
      <w:pPr>
        <w:pStyle w:val="NormalWeb"/>
        <w:numPr>
          <w:ilvl w:val="0"/>
          <w:numId w:val="11"/>
        </w:numPr>
        <w:spacing w:line="480" w:lineRule="auto"/>
        <w:jc w:val="both"/>
        <w:rPr>
          <w:color w:val="000000" w:themeColor="text1"/>
        </w:rPr>
      </w:pPr>
      <w:r w:rsidRPr="008B20D7">
        <w:rPr>
          <w:color w:val="000000" w:themeColor="text1"/>
        </w:rPr>
        <w:t>PT Executive International Bank, 1992</w:t>
      </w:r>
    </w:p>
    <w:p w:rsidR="008B20D7" w:rsidRDefault="009F5199" w:rsidP="00DE692E">
      <w:pPr>
        <w:pStyle w:val="NormalWeb"/>
        <w:numPr>
          <w:ilvl w:val="0"/>
          <w:numId w:val="11"/>
        </w:numPr>
        <w:spacing w:line="480" w:lineRule="auto"/>
        <w:jc w:val="both"/>
        <w:rPr>
          <w:color w:val="000000" w:themeColor="text1"/>
        </w:rPr>
      </w:pPr>
      <w:r w:rsidRPr="009F5199">
        <w:rPr>
          <w:color w:val="000000" w:themeColor="text1"/>
        </w:rPr>
        <w:t>Bank Eksekutif Internasional Tbk, 1996</w:t>
      </w:r>
    </w:p>
    <w:p w:rsidR="008B20D7" w:rsidRDefault="009F5199" w:rsidP="00DE692E">
      <w:pPr>
        <w:pStyle w:val="NormalWeb"/>
        <w:numPr>
          <w:ilvl w:val="0"/>
          <w:numId w:val="11"/>
        </w:numPr>
        <w:spacing w:line="480" w:lineRule="auto"/>
        <w:jc w:val="both"/>
        <w:rPr>
          <w:color w:val="000000" w:themeColor="text1"/>
        </w:rPr>
      </w:pPr>
      <w:r w:rsidRPr="009F5199">
        <w:rPr>
          <w:color w:val="000000" w:themeColor="text1"/>
        </w:rPr>
        <w:t>Bank Pundi Indonesia Tbk, 2010</w:t>
      </w:r>
    </w:p>
    <w:p w:rsidR="008B20D7" w:rsidRDefault="009F5199" w:rsidP="00DE692E">
      <w:pPr>
        <w:pStyle w:val="NormalWeb"/>
        <w:numPr>
          <w:ilvl w:val="0"/>
          <w:numId w:val="11"/>
        </w:numPr>
        <w:spacing w:line="480" w:lineRule="auto"/>
        <w:jc w:val="both"/>
        <w:rPr>
          <w:color w:val="000000" w:themeColor="text1"/>
        </w:rPr>
      </w:pPr>
      <w:r w:rsidRPr="009F5199">
        <w:rPr>
          <w:color w:val="000000" w:themeColor="text1"/>
        </w:rPr>
        <w:t>Bank Pembangunan Daerah Banten Tbk, per 29 Juli 2016</w:t>
      </w:r>
    </w:p>
    <w:p w:rsidR="008B20D7" w:rsidRDefault="009F5199" w:rsidP="008B20D7">
      <w:pPr>
        <w:pStyle w:val="NormalWeb"/>
        <w:spacing w:line="480" w:lineRule="auto"/>
        <w:ind w:left="720"/>
        <w:jc w:val="both"/>
        <w:rPr>
          <w:color w:val="000000" w:themeColor="text1"/>
        </w:rPr>
      </w:pPr>
      <w:r w:rsidRPr="009F5199">
        <w:rPr>
          <w:color w:val="000000" w:themeColor="text1"/>
        </w:rPr>
        <w:t>Pemegang saham yang memiliki 5% atau lebih saham Bank Pembangunan Daerah Banten Tbk, yaitu: PT Banten Blobal Development (pengendali) (51,00%), PT Recapital Sekuritas Indonesia (13,76%) dan PT Asuransi Jiwa Adisarana Wanaartha (5,77%).</w:t>
      </w:r>
      <w:r w:rsidR="00DD7C8C" w:rsidRPr="002724AB">
        <w:rPr>
          <w:color w:val="000000" w:themeColor="text1"/>
        </w:rPr>
        <w:t xml:space="preserve"> </w:t>
      </w:r>
      <w:r w:rsidRPr="009F5199">
        <w:rPr>
          <w:color w:val="000000" w:themeColor="text1"/>
        </w:rPr>
        <w:t xml:space="preserve">Berdasarkan Anggaran Dasar </w:t>
      </w:r>
      <w:r w:rsidRPr="009F5199">
        <w:rPr>
          <w:color w:val="000000" w:themeColor="text1"/>
        </w:rPr>
        <w:lastRenderedPageBreak/>
        <w:t>Perusahaan, ruang lingkup kegiatan BEKS bergerak dalam bidang keuangan dan pembiayaan. Bank Pundi berstatus Bank non devisa yang fokus pada pembiayaan Usaha Mikro Kecil dan Menengah (UMKM).</w:t>
      </w:r>
      <w:r w:rsidR="00DD7C8C" w:rsidRPr="002724AB">
        <w:rPr>
          <w:color w:val="000000" w:themeColor="text1"/>
        </w:rPr>
        <w:t xml:space="preserve"> Pada tanggal 22 Juni 2001, BEKS memperoleh pernyataan efektif dari Bapepam-LK atas nama Menteri Keuangan Republik Indonesia untuk melakukan Penawaran Umum Perdana Saham BEKS (IPO) kepada masyarakat sebanyak 277.500.000 dengan nilai nominal Rp100,- per saham dengan harga penawaran Rp140,- per saham dan disertai 55.500.000 Waran seri I dan periode pelaksanaan mulai dari 13 Januari 2003 sampai dengan 12 Juli 2004 dengan harga pelaksanaan sebesar Rp175,- per saham. Saham dan Waran Seri I tersebut dicatatkan pada Bursa Efek Indonesia (BEI) pada tanggal 13 Juli 2001.</w:t>
      </w:r>
    </w:p>
    <w:p w:rsidR="007D7A7D" w:rsidRDefault="003A7D4A" w:rsidP="003A7D4A">
      <w:pPr>
        <w:pStyle w:val="NormalWeb"/>
        <w:numPr>
          <w:ilvl w:val="0"/>
          <w:numId w:val="7"/>
        </w:numPr>
        <w:jc w:val="both"/>
        <w:rPr>
          <w:color w:val="000000" w:themeColor="text1"/>
        </w:rPr>
      </w:pPr>
      <w:r>
        <w:rPr>
          <w:color w:val="000000" w:themeColor="text1"/>
        </w:rPr>
        <w:t xml:space="preserve">PT </w:t>
      </w:r>
      <w:r w:rsidR="007D7A7D" w:rsidRPr="002724AB">
        <w:rPr>
          <w:color w:val="000000" w:themeColor="text1"/>
        </w:rPr>
        <w:t>Bank Pembangunan Daerah Jawa Barat Tbk</w:t>
      </w:r>
    </w:p>
    <w:p w:rsidR="008B20D7" w:rsidRDefault="00DD7C8C" w:rsidP="003A7D4A">
      <w:pPr>
        <w:pStyle w:val="NormalWeb"/>
        <w:spacing w:line="480" w:lineRule="auto"/>
        <w:ind w:left="720" w:firstLine="720"/>
        <w:jc w:val="both"/>
        <w:rPr>
          <w:color w:val="000000" w:themeColor="text1"/>
        </w:rPr>
      </w:pPr>
      <w:r w:rsidRPr="002724AB">
        <w:rPr>
          <w:color w:val="000000" w:themeColor="text1"/>
        </w:rPr>
        <w:t>Bank Pembangunan Daerah Jawa Barat dan Banten Tbk (Bank Jabar Banten / Bank BJB) (</w:t>
      </w:r>
      <w:hyperlink r:id="rId19" w:tgtFrame="_blank" w:history="1">
        <w:r w:rsidRPr="002724AB">
          <w:rPr>
            <w:color w:val="000000" w:themeColor="text1"/>
          </w:rPr>
          <w:t>BJBR</w:t>
        </w:r>
      </w:hyperlink>
      <w:r w:rsidRPr="002724AB">
        <w:rPr>
          <w:color w:val="000000" w:themeColor="text1"/>
        </w:rPr>
        <w:t xml:space="preserve">) didirikan pada tanggal 08 April 1999. Bank BJB sebelumnya merupakan sebuah perusahaan milik Belanda di Indonesia yang dinasionalisasi pada tahun 1960 yaitu N.V. Denis (De Eerste Nederlandsche Indische Shareholding) dan memulai kegiatan usaha komersialnya pada tanggal 20 Mei 1961. </w:t>
      </w:r>
      <w:r w:rsidRPr="00DD7C8C">
        <w:rPr>
          <w:color w:val="000000" w:themeColor="text1"/>
        </w:rPr>
        <w:t>Kantor pusat Bank BJB berlokasi di Menara Bank bjb, Jl. Naripan No. 12-14, Bandung 40111 – Indonesia. Saat ini, Bank BJB memiliki 65 kantor cabang, 315 kantor cabang pembantu, 346 kantor kas, 213 payment point.</w:t>
      </w:r>
      <w:r w:rsidRPr="002724AB">
        <w:rPr>
          <w:color w:val="000000" w:themeColor="text1"/>
        </w:rPr>
        <w:t xml:space="preserve"> Pemegang saham yang miliki 5% atau lebih saham Bank BJB (28-Feb-2022), yaitu: Pemda </w:t>
      </w:r>
      <w:r w:rsidRPr="002724AB">
        <w:rPr>
          <w:color w:val="000000" w:themeColor="text1"/>
        </w:rPr>
        <w:lastRenderedPageBreak/>
        <w:t xml:space="preserve">Propinsi Jawa Barat (pengendali) (38,18%), Pemda Kabupaten Bandung (7,24%) dan Pemda Propinsi Banten (5,29%). </w:t>
      </w:r>
      <w:r w:rsidRPr="00DD7C8C">
        <w:rPr>
          <w:color w:val="000000" w:themeColor="text1"/>
        </w:rPr>
        <w:t>Berdasarkan Anggaran Dasar Perusahaan, ruang lingkup kegiatan BJBR adalah menjalankan kegiatan usaha di bidang perbankan. Selain kegiatan perbankan, BJBR juga membantu Pemerintah Provinsi, Kota/Kabupaten se-Jawa Barat dan Banten dalam membina Bank Perkreditan Rakyat (BPR) dan institusi jasa keuangan lainnya milik Pemerintah Provinsi, Kota/Kabupaten se-Jawa Barat dan Banten yang sebagian sahamnya dimiliki oleh BJBR, atau BJBR sama sekali tidak memiliki saham namun diminta untuk membantu pembinaan BPR.</w:t>
      </w:r>
      <w:r w:rsidRPr="002724AB">
        <w:rPr>
          <w:color w:val="000000" w:themeColor="text1"/>
        </w:rPr>
        <w:t xml:space="preserve"> </w:t>
      </w:r>
      <w:r w:rsidRPr="00DD7C8C">
        <w:rPr>
          <w:color w:val="000000" w:themeColor="text1"/>
        </w:rPr>
        <w:t>Bank BJB memperoleh status sebagai bank devisa, berdasarkan Surat Keputusan Direksi Bank Indonesia No. 25/84/KEP/DIR tanggal 2 November 1992.</w:t>
      </w:r>
      <w:r w:rsidR="008B20D7">
        <w:rPr>
          <w:color w:val="000000" w:themeColor="text1"/>
        </w:rPr>
        <w:t xml:space="preserve"> </w:t>
      </w:r>
      <w:r w:rsidRPr="008B20D7">
        <w:rPr>
          <w:color w:val="000000" w:themeColor="text1"/>
        </w:rPr>
        <w:t>Pada tanggal 29 Juni 2010, BJBR memperoleh pernyataan efektif dari BAPEPAM &amp; LK untuk melakukan Penawaran Umum Saham Perdana atas 2.424.072.500 Saham Seri B dengan nilai nominal Rp250,- per saham dan harga penawaran Rp600,- per saham. BJBR telah mencatatkan seluruh sahamnya pada Bursa Efek Indonesia (BEI) pada tanggal 08 Juli 2010.</w:t>
      </w:r>
    </w:p>
    <w:p w:rsidR="007D7A7D" w:rsidRDefault="003A7D4A" w:rsidP="003A7D4A">
      <w:pPr>
        <w:pStyle w:val="NormalWeb"/>
        <w:numPr>
          <w:ilvl w:val="0"/>
          <w:numId w:val="7"/>
        </w:numPr>
        <w:jc w:val="both"/>
        <w:rPr>
          <w:color w:val="000000" w:themeColor="text1"/>
        </w:rPr>
      </w:pPr>
      <w:r>
        <w:rPr>
          <w:color w:val="000000" w:themeColor="text1"/>
        </w:rPr>
        <w:t xml:space="preserve">PT </w:t>
      </w:r>
      <w:r w:rsidR="007D7A7D" w:rsidRPr="008B20D7">
        <w:rPr>
          <w:color w:val="000000" w:themeColor="text1"/>
        </w:rPr>
        <w:t>Bank CIMB Niaga Tbk</w:t>
      </w:r>
    </w:p>
    <w:p w:rsidR="008B20D7" w:rsidRDefault="00DD7C8C" w:rsidP="003A7D4A">
      <w:pPr>
        <w:pStyle w:val="NormalWeb"/>
        <w:spacing w:line="480" w:lineRule="auto"/>
        <w:ind w:left="720" w:firstLine="720"/>
        <w:jc w:val="both"/>
        <w:rPr>
          <w:color w:val="000000" w:themeColor="text1"/>
        </w:rPr>
      </w:pPr>
      <w:r w:rsidRPr="008B20D7">
        <w:rPr>
          <w:color w:val="000000" w:themeColor="text1"/>
        </w:rPr>
        <w:t>Bank CIMB Niaga Tbk (dahulu Bank Niaga Tbk) (</w:t>
      </w:r>
      <w:hyperlink r:id="rId20" w:tgtFrame="_blank" w:history="1">
        <w:r w:rsidRPr="008B20D7">
          <w:rPr>
            <w:color w:val="000000" w:themeColor="text1"/>
          </w:rPr>
          <w:t>BNGA</w:t>
        </w:r>
      </w:hyperlink>
      <w:r w:rsidRPr="008B20D7">
        <w:rPr>
          <w:color w:val="000000" w:themeColor="text1"/>
        </w:rPr>
        <w:t>) didirikan 04 Nopember 1955. Kantor pusat Bank CIMB Niaga Tbk berlokasi di Graha CIMB Niaga, Jl. Jend Sudirman Kav. 58, Jakarta 12190 – Indonesia.</w:t>
      </w:r>
    </w:p>
    <w:p w:rsidR="008B20D7" w:rsidRDefault="00DD7C8C" w:rsidP="008B20D7">
      <w:pPr>
        <w:pStyle w:val="NormalWeb"/>
        <w:spacing w:line="480" w:lineRule="auto"/>
        <w:ind w:left="720"/>
        <w:jc w:val="both"/>
        <w:rPr>
          <w:color w:val="000000" w:themeColor="text1"/>
        </w:rPr>
      </w:pPr>
      <w:r w:rsidRPr="008B20D7">
        <w:rPr>
          <w:color w:val="000000" w:themeColor="text1"/>
        </w:rPr>
        <w:lastRenderedPageBreak/>
        <w:t>Sejak berdirinya, BNGA telah mengalami 4 (empat) kali penggabungan usaha (merger), yaitu:</w:t>
      </w:r>
    </w:p>
    <w:p w:rsidR="008B20D7" w:rsidRDefault="00DD7C8C" w:rsidP="00DE692E">
      <w:pPr>
        <w:pStyle w:val="NormalWeb"/>
        <w:numPr>
          <w:ilvl w:val="0"/>
          <w:numId w:val="10"/>
        </w:numPr>
        <w:spacing w:line="480" w:lineRule="auto"/>
        <w:jc w:val="both"/>
        <w:rPr>
          <w:color w:val="000000" w:themeColor="text1"/>
        </w:rPr>
      </w:pPr>
      <w:r w:rsidRPr="00DD7C8C">
        <w:rPr>
          <w:color w:val="000000" w:themeColor="text1"/>
        </w:rPr>
        <w:t>Tanggal 22 Oktober 1973 dengan PT Bank Agung;</w:t>
      </w:r>
    </w:p>
    <w:p w:rsidR="008B20D7" w:rsidRDefault="00DD7C8C" w:rsidP="00DE692E">
      <w:pPr>
        <w:pStyle w:val="NormalWeb"/>
        <w:numPr>
          <w:ilvl w:val="0"/>
          <w:numId w:val="10"/>
        </w:numPr>
        <w:spacing w:line="480" w:lineRule="auto"/>
        <w:jc w:val="both"/>
        <w:rPr>
          <w:color w:val="000000" w:themeColor="text1"/>
        </w:rPr>
      </w:pPr>
      <w:r w:rsidRPr="00DD7C8C">
        <w:rPr>
          <w:color w:val="000000" w:themeColor="text1"/>
        </w:rPr>
        <w:t>Tanggal 30 November 1978 dengan PT Bank Tabungan Bandung;</w:t>
      </w:r>
    </w:p>
    <w:p w:rsidR="008B20D7" w:rsidRDefault="00DD7C8C" w:rsidP="00DE692E">
      <w:pPr>
        <w:pStyle w:val="NormalWeb"/>
        <w:numPr>
          <w:ilvl w:val="0"/>
          <w:numId w:val="10"/>
        </w:numPr>
        <w:spacing w:line="480" w:lineRule="auto"/>
        <w:jc w:val="both"/>
        <w:rPr>
          <w:color w:val="000000" w:themeColor="text1"/>
        </w:rPr>
      </w:pPr>
      <w:r w:rsidRPr="00DD7C8C">
        <w:rPr>
          <w:color w:val="000000" w:themeColor="text1"/>
        </w:rPr>
        <w:t>Tanggal 17 Oktober 1983 dengan PT Bank Amerta; dan</w:t>
      </w:r>
    </w:p>
    <w:p w:rsidR="00DE692E" w:rsidRDefault="00DD7C8C" w:rsidP="00DE692E">
      <w:pPr>
        <w:pStyle w:val="NormalWeb"/>
        <w:numPr>
          <w:ilvl w:val="0"/>
          <w:numId w:val="10"/>
        </w:numPr>
        <w:spacing w:line="480" w:lineRule="auto"/>
        <w:jc w:val="both"/>
        <w:rPr>
          <w:color w:val="000000" w:themeColor="text1"/>
        </w:rPr>
      </w:pPr>
      <w:r w:rsidRPr="00DD7C8C">
        <w:rPr>
          <w:color w:val="000000" w:themeColor="text1"/>
        </w:rPr>
        <w:t>Tanggal 1 Nov</w:t>
      </w:r>
      <w:r w:rsidR="008B20D7">
        <w:rPr>
          <w:color w:val="000000" w:themeColor="text1"/>
        </w:rPr>
        <w:t>ember 2008 dengan Bank Lippo Tb</w:t>
      </w:r>
      <w:r w:rsidR="00DE692E">
        <w:rPr>
          <w:color w:val="000000" w:themeColor="text1"/>
        </w:rPr>
        <w:t>k.</w:t>
      </w:r>
    </w:p>
    <w:p w:rsidR="00DE692E" w:rsidRDefault="00DD7C8C" w:rsidP="00DE692E">
      <w:pPr>
        <w:pStyle w:val="NormalWeb"/>
        <w:spacing w:line="480" w:lineRule="auto"/>
        <w:ind w:left="720"/>
        <w:jc w:val="both"/>
        <w:rPr>
          <w:color w:val="000000" w:themeColor="text1"/>
        </w:rPr>
      </w:pPr>
      <w:r w:rsidRPr="002724AB">
        <w:rPr>
          <w:color w:val="000000" w:themeColor="text1"/>
        </w:rPr>
        <w:t>Pemegang saham yang memiliki 5% atau lebih saham Bank CIMB Niaga Tbk (28-Feb-2022), yaitu: CIMB Group Sdn. Bhd. (Malaysia), dengan persentase kepemilikan sebesar 91,48%</w:t>
      </w:r>
      <w:r w:rsidR="003028E1" w:rsidRPr="002724AB">
        <w:rPr>
          <w:color w:val="000000" w:themeColor="text1"/>
        </w:rPr>
        <w:t xml:space="preserve"> </w:t>
      </w:r>
      <w:r w:rsidRPr="002724AB">
        <w:rPr>
          <w:color w:val="000000" w:themeColor="text1"/>
        </w:rPr>
        <w:t>CIMB Group Sdn Bhd merupakan Anak Usaha dari CIMB Group Holdings Berhad. Dimana Pemegang saham akhir CIMB Group Holdings Berhad adalah Khazanah Nasional Berhad, Employee Provident Fund, lain-lain dan masyarakat. Khazanah Nasional Berhad merupa</w:t>
      </w:r>
      <w:r w:rsidR="003028E1" w:rsidRPr="002724AB">
        <w:rPr>
          <w:color w:val="000000" w:themeColor="text1"/>
        </w:rPr>
        <w:t xml:space="preserve">kan entitas yang dimiliki </w:t>
      </w:r>
      <w:r w:rsidRPr="002724AB">
        <w:rPr>
          <w:color w:val="000000" w:themeColor="text1"/>
        </w:rPr>
        <w:t>oleh Pemerintah Malaysia.</w:t>
      </w:r>
      <w:r w:rsidR="003028E1" w:rsidRPr="002724AB">
        <w:rPr>
          <w:color w:val="000000" w:themeColor="text1"/>
        </w:rPr>
        <w:t xml:space="preserve"> </w:t>
      </w:r>
      <w:r w:rsidRPr="002724AB">
        <w:rPr>
          <w:color w:val="000000" w:themeColor="text1"/>
        </w:rPr>
        <w:t>Penerima manfaat akhir dari kepemilikan saham (ultimate beneficial owner) dari Bank CIMB Niaga Tbk adalah Khairulanwar Bin Rifaie dan Rossaya Binti Mohd Nashir.</w:t>
      </w:r>
      <w:r w:rsidR="003028E1" w:rsidRPr="002724AB">
        <w:rPr>
          <w:color w:val="000000" w:themeColor="text1"/>
        </w:rPr>
        <w:t xml:space="preserve"> </w:t>
      </w:r>
      <w:r w:rsidRPr="002724AB">
        <w:rPr>
          <w:color w:val="000000" w:themeColor="text1"/>
        </w:rPr>
        <w:t>Berdasarkan Anggaran Dasar Perusahaan, ruang lingkup kegiatan Bank CIMB Niaga adalah melakukan usaha di bidang perbankan, dan melakukan kegiatan perbankan lainnya berdasarkan prinsip Syariah. Bank CIMB Niaga mulai melakukan kegiatan perbankan berdasarkan prinsip Syariah pada tanggal 27 September 2004.</w:t>
      </w:r>
      <w:r w:rsidR="003028E1" w:rsidRPr="002724AB">
        <w:rPr>
          <w:color w:val="000000" w:themeColor="text1"/>
        </w:rPr>
        <w:t xml:space="preserve"> </w:t>
      </w:r>
      <w:r w:rsidRPr="002724AB">
        <w:rPr>
          <w:color w:val="000000" w:themeColor="text1"/>
        </w:rPr>
        <w:t xml:space="preserve">Saat ini, Bank CIMB Niaga memiliki 60 kantor cabang, 302 kantor cabang pembantu, 33 kas mobil, 24 Unit cabang Syariah, 356 kantor layanan </w:t>
      </w:r>
      <w:r w:rsidRPr="002724AB">
        <w:rPr>
          <w:color w:val="000000" w:themeColor="text1"/>
        </w:rPr>
        <w:lastRenderedPageBreak/>
        <w:t>Syariah dan 8 kantor kas Syariah.</w:t>
      </w:r>
      <w:r w:rsidR="003028E1" w:rsidRPr="002724AB">
        <w:rPr>
          <w:color w:val="000000" w:themeColor="text1"/>
        </w:rPr>
        <w:t xml:space="preserve"> </w:t>
      </w:r>
      <w:r w:rsidRPr="002724AB">
        <w:rPr>
          <w:color w:val="000000" w:themeColor="text1"/>
        </w:rPr>
        <w:t>Bank CIMB Niaga memperoleh izin usaha sebagai bank umum, bank devisa, dan bank yang melakukan kegiatan berdasarkan prinsip Syariah masing-masing berdasarkan surat keputusan Menteri Keuangan No. 249544/U.M.II tanggal 11 November 1955, surat keputusan Direksi Bank Indonesia (BI) No. 7/116/Kep/Dir/UD tanggal 22 November 1974 dan Surat Keputusan Gubernur Bank Indonesia No. 6/71/KEP.GBI.2004 tanggal 16 September 2004.</w:t>
      </w:r>
      <w:r w:rsidR="003028E1" w:rsidRPr="002724AB">
        <w:rPr>
          <w:color w:val="000000" w:themeColor="text1"/>
        </w:rPr>
        <w:t xml:space="preserve"> </w:t>
      </w:r>
      <w:r w:rsidRPr="002724AB">
        <w:rPr>
          <w:color w:val="000000" w:themeColor="text1"/>
        </w:rPr>
        <w:t>Pada tanggal 02 Oktober 1989, BNGA memperoleh pernyataan efektif dari BAPEPAM-LK untuk melakukan Penawaran Umum Perdana Saham BNGA (IPO) kepada masyarakat sebanyak 5.000.000 dengan nilai nominal Rp1.000,- per saham dengan harga penawaran Rp12.500,- per saham. Saham-saham tersebut dicatatkan pada Bursa Efek Indonesia (BEI) pada tanggal 29 Nopember 1989.</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2724AB">
        <w:rPr>
          <w:color w:val="000000" w:themeColor="text1"/>
        </w:rPr>
        <w:t>Bank Maybank Indonesia Tbk</w:t>
      </w:r>
    </w:p>
    <w:p w:rsidR="00DE692E" w:rsidRDefault="003028E1" w:rsidP="003A7D4A">
      <w:pPr>
        <w:pStyle w:val="NormalWeb"/>
        <w:spacing w:line="480" w:lineRule="auto"/>
        <w:ind w:left="720" w:firstLine="720"/>
        <w:jc w:val="both"/>
        <w:rPr>
          <w:color w:val="000000" w:themeColor="text1"/>
        </w:rPr>
      </w:pPr>
      <w:r w:rsidRPr="002724AB">
        <w:rPr>
          <w:color w:val="000000" w:themeColor="text1"/>
        </w:rPr>
        <w:t>Bank Maybank Indonesia Tbk (d/h Bank Internasional Indonesia Tbk / Bank BII) (</w:t>
      </w:r>
      <w:hyperlink r:id="rId21" w:tgtFrame="_blank" w:history="1">
        <w:r w:rsidRPr="002724AB">
          <w:rPr>
            <w:color w:val="000000" w:themeColor="text1"/>
          </w:rPr>
          <w:t>BNII</w:t>
        </w:r>
      </w:hyperlink>
      <w:r w:rsidRPr="002724AB">
        <w:rPr>
          <w:color w:val="000000" w:themeColor="text1"/>
        </w:rPr>
        <w:t xml:space="preserve">) didirikan 15 Mei 1959. Kantor pusat Bank Maybank Indonesia Tbk beralamat di Sentral Senayan III, Jalan Asia Afrika No. 8, Gelora Bung Karno – Senayan, Jakarta 10270 – Indonesia. </w:t>
      </w:r>
      <w:r w:rsidRPr="003028E1">
        <w:rPr>
          <w:color w:val="000000" w:themeColor="text1"/>
        </w:rPr>
        <w:t>Pada tanggal 31 Maret 1980 Bank Maybank melakukan penggabungan usaha (merger) dengan PT Bank Tabungan Untuk Umum 1859, Surabaya.</w:t>
      </w:r>
      <w:r w:rsidRPr="002724AB">
        <w:rPr>
          <w:color w:val="000000" w:themeColor="text1"/>
        </w:rPr>
        <w:t xml:space="preserve"> Pemegang saham yang memiliki 5% atau lebih saham Bank Maybank Indonesia Tbk (28-Feb-2022), yaitu: Sorak Financial Holdings Pte. Ltd (45,02%), Maybank Offshore Corporate Service (33,96%) dan UBS AG </w:t>
      </w:r>
      <w:r w:rsidRPr="002724AB">
        <w:rPr>
          <w:color w:val="000000" w:themeColor="text1"/>
        </w:rPr>
        <w:lastRenderedPageBreak/>
        <w:t xml:space="preserve">London (18,31%). </w:t>
      </w:r>
      <w:r w:rsidRPr="003028E1">
        <w:rPr>
          <w:color w:val="000000" w:themeColor="text1"/>
        </w:rPr>
        <w:t>Pemegang pengendali utama Bank Maybank Indonesia adalah Malayan Banking Berhad (Maybank). Maybank mengendalikan Bank Maybank Indonesia melalui Sorak Financial Holdings Pte. Ltd dan Maybank Offshore Corporate Service (Labuan) Sdn. Bhd.</w:t>
      </w:r>
      <w:r w:rsidRPr="002724AB">
        <w:rPr>
          <w:color w:val="000000" w:themeColor="text1"/>
        </w:rPr>
        <w:t xml:space="preserve"> </w:t>
      </w:r>
      <w:r w:rsidRPr="003028E1">
        <w:rPr>
          <w:color w:val="000000" w:themeColor="text1"/>
        </w:rPr>
        <w:t>Berdasarkan Anggaran Dasar Perusahaan, ruang lingkup kegiatan BNII adalah melakukan usaha di bidang perbankan, dan melakukan kegiatan perbankan lainnya berdasarkan prinsip Syariah. Bank Maybank mulai melakukan kegiatan berdasarkan prinsip Syariah sejak bulan Mei 2003.</w:t>
      </w:r>
      <w:r w:rsidRPr="002724AB">
        <w:rPr>
          <w:color w:val="000000" w:themeColor="text1"/>
        </w:rPr>
        <w:t xml:space="preserve"> </w:t>
      </w:r>
      <w:r w:rsidRPr="003028E1">
        <w:rPr>
          <w:color w:val="000000" w:themeColor="text1"/>
        </w:rPr>
        <w:t>Bank Maybank memiliki 1 kantor pusat, 81 kantor cabang, 255 kantor cabang pembantu, 1 kantor cabang pembantu mikro, 17 kantor cabang Syariah dan 2 kantor cabang pembantu Syariah.</w:t>
      </w:r>
      <w:r w:rsidRPr="002724AB">
        <w:rPr>
          <w:color w:val="000000" w:themeColor="text1"/>
        </w:rPr>
        <w:t xml:space="preserve"> </w:t>
      </w:r>
      <w:r w:rsidRPr="003028E1">
        <w:rPr>
          <w:color w:val="000000" w:themeColor="text1"/>
        </w:rPr>
        <w:t>Bank Maybank memiliki anak usaha yang juga tercatat di Bursa Efek Indonesia, yakni Wahana Ottomitra Multiartha Tbk (</w:t>
      </w:r>
      <w:hyperlink r:id="rId22" w:tgtFrame="_blank" w:history="1">
        <w:r w:rsidRPr="002724AB">
          <w:rPr>
            <w:color w:val="000000" w:themeColor="text1"/>
          </w:rPr>
          <w:t>WOMF</w:t>
        </w:r>
      </w:hyperlink>
      <w:r w:rsidRPr="003028E1">
        <w:rPr>
          <w:color w:val="000000" w:themeColor="text1"/>
        </w:rPr>
        <w:t>).</w:t>
      </w:r>
      <w:r w:rsidRPr="002724AB">
        <w:rPr>
          <w:color w:val="000000" w:themeColor="text1"/>
        </w:rPr>
        <w:t xml:space="preserve"> </w:t>
      </w:r>
      <w:r w:rsidRPr="003028E1">
        <w:rPr>
          <w:color w:val="000000" w:themeColor="text1"/>
        </w:rPr>
        <w:t>Pada tanggal 02 Oktober 1989, BNII memperoleh pernyataan efektif dari BAPEPAM-LK untuk melakukan Penawaran Umum Perdana Saham BNII (IPO) kepada masyarakat sebanyak 12.000.000 dengan nilai nominal Rp1.000,- per saham dengan harga penawaran Rp11.000,- per saham. Saham-saham tersebut dicatatkan pada Bursa Efek Indonesia (BEI) pada tanggal 21 Nopember 1989.</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Permata Tbk</w:t>
      </w:r>
    </w:p>
    <w:p w:rsidR="00DE692E" w:rsidRDefault="00F120D2" w:rsidP="003A7D4A">
      <w:pPr>
        <w:pStyle w:val="NormalWeb"/>
        <w:spacing w:line="480" w:lineRule="auto"/>
        <w:ind w:left="720" w:firstLine="720"/>
        <w:jc w:val="both"/>
        <w:rPr>
          <w:color w:val="000000" w:themeColor="text1"/>
        </w:rPr>
      </w:pPr>
      <w:r w:rsidRPr="00DE692E">
        <w:rPr>
          <w:color w:val="000000" w:themeColor="text1"/>
        </w:rPr>
        <w:t>Bank Permata Tbk (dahulu Bank Bali Tbk) (</w:t>
      </w:r>
      <w:hyperlink r:id="rId23" w:tgtFrame="_blank" w:history="1">
        <w:r w:rsidRPr="00DE692E">
          <w:rPr>
            <w:color w:val="000000" w:themeColor="text1"/>
          </w:rPr>
          <w:t>BNLI</w:t>
        </w:r>
      </w:hyperlink>
      <w:r w:rsidRPr="00DE692E">
        <w:rPr>
          <w:color w:val="000000" w:themeColor="text1"/>
        </w:rPr>
        <w:t xml:space="preserve">) didirikan 17 Desember 1954 dengan nama “Bank Persatuan Dagang Indonesia” dan mulai beroperasi secara komersial pada tanggal 5 Januari 1955. Kantor pusat Bank Permata berlokasi di Gedung World Trade Center II, Jl. Jend. </w:t>
      </w:r>
      <w:r w:rsidRPr="00DE692E">
        <w:rPr>
          <w:color w:val="000000" w:themeColor="text1"/>
        </w:rPr>
        <w:lastRenderedPageBreak/>
        <w:t xml:space="preserve">Sudirman Kav. 29-31, Jakarta 12920 – Indonesia. Pada tanggal 30 September 2012, Bank Bali Tbk melakukan peleburan usaha dengan 4 Bank Dalam Penyehatan, yang terdiri dari Bank Universal Tbk (Universal), PT Bank Prima Express (Primex), PT Bank Artamedia (Artamedia) dan PT Bank Patriot (Patriot). Kemudian pada tanggal 18 Oktober 2002, nama Bank Bali Tbk diganti menjadi Bank Permata Tbk. Pemegang saham yang memiliki 5% atau lebih saham Bank Permata Tbk (31-Mar-2023), yaitu: Bangkok Bank Public Company Limited, dengan persentase kepemilikan sebesar 98,71%. Pihak pengendali dan pemilik manfaat sebenarnya (ultimate beneficial owner) Bank Permata Tbk adalah Deja Tulananda dan Chartsiri Sophonpanich. Berdasarkan Anggaran Dasar Perusahaan, ruang lingkup kegiatan BNLI adalah menjalankan kegiatan umum perbankan, termasuk menyediakan pembiayaan dan/atau melakukan kegiatan lain berdasarkan prinsip syariah (sejak bulan Nopember 2004). Bank Permata memiliki 75 kantor cabang (termasuk kantor pusat), 173 kantor cabang pembantu dan 225 kantor layanan Syariah. Bank Permata memperoleh izin usaha sebagai bank umum, bank devisa, dan bank yang melakukan kegiatan berdasarkan prinsip Syariah masing-masing berdasarkan surat keputusan Menteri Keuangan No. 19371/U.M.II tanggal 19 Februari 1957, Surat Keputusan Dewan Moneter Bank Indonesia (BI) No. Sekr/D.M./97 tanggal 8 Mei 1956 dan Surat Direktorat Perbankan Syariah No. 6/1082/DPbS tanggal 5 Oktober 2004. Pada tanggal 02 Desember 1989, BNLI memperoleh izin dari Menteri </w:t>
      </w:r>
      <w:r w:rsidRPr="00DE692E">
        <w:rPr>
          <w:color w:val="000000" w:themeColor="text1"/>
        </w:rPr>
        <w:lastRenderedPageBreak/>
        <w:t>Keuangan untuk melakukan Penawaran Umum Perdana Saham BNLI kepada masyarakat sebanyak 3.999.000 dengan nilai nominal Rp1.000,- per saham dengan harga penawaran Rp9.900,- per saham. Saham-saham tersebut dicatatkan pada Bursa Efek Indonesia (BEI) pada tanggal 15 Januari 1990.</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Sinarmas Tbk</w:t>
      </w:r>
    </w:p>
    <w:p w:rsidR="00DE692E" w:rsidRDefault="00F120D2" w:rsidP="003A7D4A">
      <w:pPr>
        <w:pStyle w:val="NormalWeb"/>
        <w:spacing w:line="480" w:lineRule="auto"/>
        <w:ind w:left="720" w:firstLine="720"/>
        <w:jc w:val="both"/>
        <w:rPr>
          <w:color w:val="000000" w:themeColor="text1"/>
        </w:rPr>
      </w:pPr>
      <w:r w:rsidRPr="00DE692E">
        <w:rPr>
          <w:color w:val="000000" w:themeColor="text1"/>
        </w:rPr>
        <w:t>Bank Sinarmas Tbk (</w:t>
      </w:r>
      <w:hyperlink r:id="rId24" w:tgtFrame="_blank" w:history="1">
        <w:r w:rsidRPr="00DE692E">
          <w:rPr>
            <w:color w:val="000000" w:themeColor="text1"/>
          </w:rPr>
          <w:t>BSIM</w:t>
        </w:r>
      </w:hyperlink>
      <w:r w:rsidRPr="00DE692E">
        <w:rPr>
          <w:color w:val="000000" w:themeColor="text1"/>
        </w:rPr>
        <w:t>) didirikan dengan nama PT Bank Shinta Indonesia tanggal 18 Agustus 1989 dan mulai beroperasi secara komersial pada tanggal 16 Februari 1990. Kantor pusat Bank Sinarmas beralamat di Sinar Mas Land Plaza Menara I, Lt 1 &amp; 2, Jln. M.H. Thamrin No. 51, Jakarta Pusat 10350 dan memiliki 1 kantor cabang utama, 67 kantor cabang, 67 kantor fungsional operasional, 13 kantor fungsional UMK, 188 kantor cabang pembantu, 31 kantor cabang syariah, 12 kantor kas syariah, 1 kantor fungsional non operasional dan 3 mobil kas keliling yang semuanya berlokasi di Indonesia. Pemegang saham yang memiliki 5% atau lebih saham Bank Sinarmas Tbk (30-Jun-2023), yaitu: </w:t>
      </w:r>
      <w:hyperlink r:id="rId25" w:tgtFrame="_blank" w:history="1">
        <w:r w:rsidRPr="00DE692E">
          <w:rPr>
            <w:color w:val="000000" w:themeColor="text1"/>
          </w:rPr>
          <w:t>Sinar Mas Multiartha Tbk (SMMA)</w:t>
        </w:r>
      </w:hyperlink>
      <w:r w:rsidRPr="00DE692E">
        <w:rPr>
          <w:color w:val="000000" w:themeColor="text1"/>
        </w:rPr>
        <w:t xml:space="preserve">, dengan persentase kepemilikan sebesar 59,99%. Pihak pengendali dan pemilik manfaat sebenarnya (ultimate beneficial owner) Bank Sinarmas Tbk adalah Indra Widjaja. BSIM memperoleh izin untuk beroperasi sebagai bank umum dari Menteri Keuangan Republik Indonesia pada tanggal 16 Februari 1990. Lalu tanggal 22 Maret 1995 BSIM memperoleh ijin usaha sebagai Bank Devisa dari Bank Indonesia. Kemudian pada tanggal 27 Oktober 2009 Bank Sinarmas memperoleh izin </w:t>
      </w:r>
      <w:r w:rsidRPr="00DE692E">
        <w:rPr>
          <w:color w:val="000000" w:themeColor="text1"/>
        </w:rPr>
        <w:lastRenderedPageBreak/>
        <w:t>usaha perbankan berdasarkan prinsip syariah dari Deputi Gubernur Bank Indonesia. Berdasarkan Anggaran Dasar Perusahaan, ruang lingkup kegiatan BSIM adalah menjalankan usaha di bidang perbankan, termasuk melakukan kegiatan Bank berdasarkan prinsip syariah. Pada tanggal 29 Nopember 2010, BSIM memperoleh pernyataan efektif dari Bapepam-LK untuk melakukan </w:t>
      </w:r>
      <w:hyperlink r:id="rId26" w:tgtFrame="_blank" w:history="1">
        <w:r w:rsidRPr="00DE692E">
          <w:rPr>
            <w:color w:val="000000" w:themeColor="text1"/>
          </w:rPr>
          <w:t>Penawaran Umum Perdana Saham BSIM (IPO) </w:t>
        </w:r>
      </w:hyperlink>
      <w:r w:rsidRPr="00DE692E">
        <w:rPr>
          <w:color w:val="000000" w:themeColor="text1"/>
        </w:rPr>
        <w:t>kepada masyarakat sebanyak 1.600.000.000 dengan nilai nominal Rp100,- per saham saham dengan harga penawaran Rp150,- per saham disertai dengan Waran Seri I yang diberikan secara cuma-cuma sebagai insentif sebanyak 1.920.000.000 dengan pelaksanaan sebesar Rp150,- per saham. Setiap pemegang saham Waran berhak membeli satu saham perusahaan selama masa pelaksanaan yaitu mulai tanggal 13 Juni 2011 sampai dengan 11 Desember 2015. Saham dan waran tersebut dicatatkan pada Bursa Efek Indonesia (BEI) pada tanggal 13 Desember 2010.</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of India Indonesia Tbk</w:t>
      </w:r>
    </w:p>
    <w:p w:rsidR="00DE692E" w:rsidRDefault="00E24678" w:rsidP="003A7D4A">
      <w:pPr>
        <w:pStyle w:val="NormalWeb"/>
        <w:spacing w:line="480" w:lineRule="auto"/>
        <w:ind w:left="720" w:firstLine="720"/>
        <w:jc w:val="both"/>
        <w:rPr>
          <w:color w:val="000000" w:themeColor="text1"/>
        </w:rPr>
      </w:pPr>
      <w:r w:rsidRPr="00DE692E">
        <w:rPr>
          <w:color w:val="000000" w:themeColor="text1"/>
        </w:rPr>
        <w:t>Bank of India Indonesia Tbk (dahulu Bank Swadesi Tbk) (</w:t>
      </w:r>
      <w:hyperlink r:id="rId27" w:tgtFrame="_blank" w:history="1">
        <w:r w:rsidRPr="00DE692E">
          <w:rPr>
            <w:color w:val="000000" w:themeColor="text1"/>
          </w:rPr>
          <w:t>BSWD</w:t>
        </w:r>
      </w:hyperlink>
      <w:r w:rsidRPr="00DE692E">
        <w:rPr>
          <w:color w:val="000000" w:themeColor="text1"/>
        </w:rPr>
        <w:t xml:space="preserve">) didirikan 28 September 1968 dengan nama PT Bank Pasar Swadesi. Kantor pusat Bank of India Indonesia Tbk di Jalan H. Samanhudi No. 37, Pasar Baru, Kec. Sawah Besar, Jakarta Pusat, DKI Jakarta 10710 – Indonesia. Pemegang saham yang memiliki 5% atau lebih saham Bank of India Indonesia Tbk (31-Mar-2023), yaitu: Bank of India (86,04%) dan PT Panca Mantra Jaya (10,46%). Pihak pengendali dan pemilik manfaat sebenarnya (ultimate beneficial owner) Bank of India Indonesia Tbk </w:t>
      </w:r>
      <w:r w:rsidRPr="00DE692E">
        <w:rPr>
          <w:color w:val="000000" w:themeColor="text1"/>
        </w:rPr>
        <w:lastRenderedPageBreak/>
        <w:t>adalah Pemerintah India. Berdasarkan Anggaran Dasar Perusahaan, ruang lingkup kegiatan BSWD adalah menjalankan dan mengusahakan kegiatan yang berhubungan dengan perbankan. BSWD mempunyai 8 kantor cabang, 6 kantor cabang pembantu, 1 kantor pusat nonoperasional dan 2 kantor kas. Bank of India Indonesia Tbk mendapat ijin usaha sebagai bank umum tanggal 16 Agustus 1989 dan kemudian pada tanggal 12 Oktober 1994 memperoleh ijin untuk melakukan kegiatan usaha sebagai Bank Devisa. Pada tanggal 12 April 2002, BSWD memperoleh pernyataan efektif dari BAPEPAM-LK untuk melakukan Penawaran Umum Perdana Saham BSWD (IPO) kepada masyarakat sebanyak 60.000.000 dengan nilai nominal Rp200,- per saham dengan harga penawaran Rp250,- per saham. Saham-saham tersebut dicatatkan pada Bursa Efek Indonesia (BEI) pada tanggal 01 Mei 2002.</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BTPN Tbk</w:t>
      </w:r>
    </w:p>
    <w:p w:rsidR="003A7D4A" w:rsidRDefault="0047084F" w:rsidP="00831DD1">
      <w:pPr>
        <w:pStyle w:val="NormalWeb"/>
        <w:spacing w:line="480" w:lineRule="auto"/>
        <w:ind w:left="720" w:firstLine="720"/>
        <w:jc w:val="both"/>
        <w:rPr>
          <w:color w:val="000000" w:themeColor="text1"/>
        </w:rPr>
      </w:pPr>
      <w:r>
        <w:rPr>
          <w:color w:val="000000" w:themeColor="text1"/>
        </w:rPr>
        <w:t>B</w:t>
      </w:r>
      <w:r w:rsidR="005A4980" w:rsidRPr="00DE692E">
        <w:rPr>
          <w:color w:val="000000" w:themeColor="text1"/>
        </w:rPr>
        <w:t>ank BTPN Tbk (d/h Bank Tabungan Pensiunan Nasional Tbk) (</w:t>
      </w:r>
      <w:hyperlink r:id="rId28" w:tgtFrame="_blank" w:history="1">
        <w:r w:rsidR="005A4980" w:rsidRPr="00DE692E">
          <w:rPr>
            <w:color w:val="000000" w:themeColor="text1"/>
          </w:rPr>
          <w:t>BTPN</w:t>
        </w:r>
      </w:hyperlink>
      <w:r w:rsidR="005A4980" w:rsidRPr="00DE692E">
        <w:rPr>
          <w:color w:val="000000" w:themeColor="text1"/>
        </w:rPr>
        <w:t>) didirikan 16 Februari 1985. Kantor pusat Bank BTPN Tbk beralamat di Menara BTPN CBD Mega Kuningan, Jl. Dr. Ide Anak Agung Gde Agung Kav. 5.5-5.6, Jakarta 12950 – Indonesia. Bank BTPN memiliki 73 kantor cabang utama, 234 kantor cabang pembantu dan 51 kantor fungsional. Pemegang saham yang memiliki 5% atau lebih saham Bank BTPN Tbk (28-Feb-2023), yaitu: Sumitomo Mitsui Banking Corporation (pengendali) dengan persentase kepemilikan sebesar 92,43%.</w:t>
      </w:r>
      <w:r w:rsidR="00E24678" w:rsidRPr="00DE692E">
        <w:rPr>
          <w:color w:val="000000" w:themeColor="text1"/>
        </w:rPr>
        <w:t xml:space="preserve"> </w:t>
      </w:r>
      <w:r w:rsidR="005A4980" w:rsidRPr="00DE692E">
        <w:rPr>
          <w:color w:val="000000" w:themeColor="text1"/>
        </w:rPr>
        <w:t xml:space="preserve">Pemilik manfaat sebenarnya (ultimate beneficial owner) Bank BTPN Tbk </w:t>
      </w:r>
      <w:r w:rsidR="005A4980" w:rsidRPr="00DE692E">
        <w:rPr>
          <w:color w:val="000000" w:themeColor="text1"/>
        </w:rPr>
        <w:lastRenderedPageBreak/>
        <w:t>adalah Sumitomo Mitsui Financial Group melalui Sumitomo Mitsui Banking Corporation. Berdasarkan Anggaran Dasar Perusahaan, ruang lingkup kegiatan BTPN adalah melakukan kegiatan usaha di bidang jasa bank umum termasuk melakukan penyertaan modal pada bank yang melaksanakan kegiatan usaha berdasarkan prinsip syariah, sesuai dengan undang-undang dan peraturan yang berlaku di Indonesia. Usaha perbankan syariah dijalankan oleh anak usaha, yakni </w:t>
      </w:r>
      <w:hyperlink r:id="rId29" w:tgtFrame="_blank" w:history="1">
        <w:r w:rsidR="005A4980" w:rsidRPr="00DE692E">
          <w:rPr>
            <w:color w:val="000000" w:themeColor="text1"/>
          </w:rPr>
          <w:t>Bank BTPN Syariah Tbk (BTPS)</w:t>
        </w:r>
      </w:hyperlink>
      <w:r w:rsidR="005A4980" w:rsidRPr="00DE692E">
        <w:rPr>
          <w:color w:val="000000" w:themeColor="text1"/>
        </w:rPr>
        <w:t> (sebelumnya PT Bank Tabungan Pensiunan Nasional Syariah). Bank BTPN memperoleh izin sebagai bank umum pada tanggal 22 Maret 1993 dari Menteri Keuangan Republik Indonesia dan izin sebagai bank devisa pada 22 Desember 2015 dari Otoritas Jasa Keuangan (OJK). Pada tanggal 29 Februari 2008, BTPN memperoleh pernyataan efektif dari BAPEPAM-LK untuk melakukan Penawaran Umum Perdana Saham BTPN (IPO) kepada masyarakat sebanyak 267.960.220 dengan nilai nominal Rp100,- per saham dengan harga penawaran Rp2.850,- per saham. Saham-saham tersebut dicatatkan pada Bursa Efek Indonesia (BEI) pada tanggal 12 Maret 2008.</w:t>
      </w:r>
    </w:p>
    <w:p w:rsidR="0047084F" w:rsidRDefault="003A7D4A" w:rsidP="003A7D4A">
      <w:pPr>
        <w:pStyle w:val="NormalWeb"/>
        <w:numPr>
          <w:ilvl w:val="0"/>
          <w:numId w:val="7"/>
        </w:numPr>
        <w:spacing w:line="276" w:lineRule="auto"/>
        <w:jc w:val="both"/>
        <w:rPr>
          <w:color w:val="000000" w:themeColor="text1"/>
        </w:rPr>
      </w:pPr>
      <w:r>
        <w:rPr>
          <w:color w:val="000000" w:themeColor="text1"/>
        </w:rPr>
        <w:t xml:space="preserve">PT </w:t>
      </w:r>
      <w:r w:rsidR="0047084F" w:rsidRPr="00DE692E">
        <w:rPr>
          <w:color w:val="000000" w:themeColor="text1"/>
        </w:rPr>
        <w:t>Bank Victoria International Tbk</w:t>
      </w:r>
    </w:p>
    <w:p w:rsidR="00DE692E" w:rsidRDefault="00E24678" w:rsidP="003A7D4A">
      <w:pPr>
        <w:pStyle w:val="NormalWeb"/>
        <w:spacing w:line="480" w:lineRule="auto"/>
        <w:ind w:left="720" w:firstLine="720"/>
        <w:jc w:val="both"/>
        <w:rPr>
          <w:color w:val="000000" w:themeColor="text1"/>
        </w:rPr>
      </w:pPr>
      <w:r w:rsidRPr="00DE692E">
        <w:rPr>
          <w:color w:val="000000" w:themeColor="text1"/>
        </w:rPr>
        <w:t>Bank Victoria International Tbk (</w:t>
      </w:r>
      <w:hyperlink r:id="rId30" w:tgtFrame="_blank" w:history="1">
        <w:r w:rsidRPr="00DE692E">
          <w:rPr>
            <w:color w:val="000000" w:themeColor="text1"/>
          </w:rPr>
          <w:t>BVIC</w:t>
        </w:r>
      </w:hyperlink>
      <w:r w:rsidRPr="00DE692E">
        <w:rPr>
          <w:color w:val="000000" w:themeColor="text1"/>
        </w:rPr>
        <w:t xml:space="preserve">) didirikan 28 Oktober 1992 dan mulai beroperasi secara komersial pada tanggal 05 Oktober 1994. Kantor pusat Bank Victoria berlokasi di Panin Tower – Senayan City, Lantai 15, Jl. Asia Afrika Lot. 19, Jakarta 10270 – Indonesia. Saat ini, Bank Victoria memiliki 1 kantor cabang utama, 8 kantor cabang, 67 kantor </w:t>
      </w:r>
      <w:r w:rsidRPr="00DE692E">
        <w:rPr>
          <w:color w:val="000000" w:themeColor="text1"/>
        </w:rPr>
        <w:lastRenderedPageBreak/>
        <w:t>cabang pembantu dan 27 kantor kas. Pemegang saham yang memiliki 5% atau lebih saham Bank Victoria International Tbk, yaitu: Victoria Investama Tbk (pengendali) (</w:t>
      </w:r>
      <w:hyperlink r:id="rId31" w:tgtFrame="_blank" w:history="1">
        <w:r w:rsidRPr="00DE692E">
          <w:rPr>
            <w:color w:val="000000" w:themeColor="text1"/>
          </w:rPr>
          <w:t>VICO</w:t>
        </w:r>
      </w:hyperlink>
      <w:r w:rsidRPr="00DE692E">
        <w:rPr>
          <w:color w:val="000000" w:themeColor="text1"/>
        </w:rPr>
        <w:t>) (45,43%), Suzanna Tanojo (pengendali) (10,17%) dan DEG-Deutsche Investitions-und Entwicklungsgesellschaft mbH (9,00%). Berdasarkan Anggaran Dasar Perusahaan, ruang lingkup kegiatan BVIC adalah menjalankan kegiatan usaha di bidang perbankan. Bank Victoria memperoleh ijin usaha sebagai bank umum dan sebagai pedagang valuta asing, masing-masing pada tanggal 10 Agustus 1994 dan 25 Mei 1997. Bank Victoria juga menjalankan usaha perbankan syariah melalui anak usahanya, yaitu PT Bank Victoria Syariah (dahulu PT Bank Swaguna). Pada tanggal 04 Juni 1999, BVIC memperoleh pernyataan efektif dari Menteri Keuangan untuk melakukan Penawaran Umum Perdana Saham BVIC (IPO) kepada masyarakat sebanyak 250.000.000 dengan nilai nominal Rp100,- per saham dengan harga penawaran Rp100,- per saham dan disertai 80.000.000 Waran seri I. Saham dan Waran Seri I tersebut dicatatkan pada Bursa Efek Indonesia (BEI) pada tanggal 30 Juni 1999.</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Dinar Indonesia Tbk</w:t>
      </w:r>
    </w:p>
    <w:p w:rsidR="003A7D4A" w:rsidRDefault="00D149F0" w:rsidP="00831DD1">
      <w:pPr>
        <w:pStyle w:val="NormalWeb"/>
        <w:spacing w:line="480" w:lineRule="auto"/>
        <w:ind w:left="720" w:firstLine="720"/>
        <w:jc w:val="both"/>
        <w:rPr>
          <w:color w:val="000000" w:themeColor="text1"/>
        </w:rPr>
      </w:pPr>
      <w:r w:rsidRPr="00DE692E">
        <w:rPr>
          <w:color w:val="000000" w:themeColor="text1"/>
        </w:rPr>
        <w:t>Bank Oke Indonesia Tbk (dahulu bernama Bank Dinar Indonesia Tbk) (</w:t>
      </w:r>
      <w:hyperlink r:id="rId32" w:tgtFrame="_blank" w:history="1">
        <w:r w:rsidRPr="00DE692E">
          <w:rPr>
            <w:color w:val="000000" w:themeColor="text1"/>
          </w:rPr>
          <w:t>DNAR</w:t>
        </w:r>
      </w:hyperlink>
      <w:r w:rsidRPr="00DE692E">
        <w:rPr>
          <w:color w:val="000000" w:themeColor="text1"/>
        </w:rPr>
        <w:t xml:space="preserve">) didirikan tanggal 15 Agustus 1990 dengan nama PT Liman International Bank dan memulai kegiatan komersial pada tahun 1991. Kantor pusat Bank Oke Indonesia Tbk berlokasi di Jl. Ir. H. Juanda No. 12, Jakarta Pusat 10120 – Indonesia. Pemegang saham yang memiliki 5% </w:t>
      </w:r>
      <w:r w:rsidRPr="00DE692E">
        <w:rPr>
          <w:color w:val="000000" w:themeColor="text1"/>
        </w:rPr>
        <w:lastRenderedPageBreak/>
        <w:t>atau lebih saham Bank Oke Indonesia Tbk (30-Jun-2023) adalah APRO Financial Co. Ltd., dengan persentase kepemilikan sebesar 93,40%. Pihak pemilik manfaat akhir (ultimate beneficial owner) Bank Oke Indonesia Tbk adalah Yoon Choi. Berdasarkan Anggaran Dasar Perusahaan, ruang lingkup kegiatan DNAR adalah menjalankan kegiatan umum perbankan sesuai dengan undang-undang dan peraturan yang berlaku. Saat ini, DNAR memiliki 1 kantor pusat, 5 kantor cabang dan 11 kantor cabang pembantu. DNAR memperoleh izin usaha sebagai Bank Umum dari Menteri Keuangan Republik Indonesia pada tanggal 9 November 1991. Pada tanggal 30 Juni 2014, DNAR memperoleh pernyataan efektif dari Otoritas Jasa Keuangan (OJK) untuk melakukan </w:t>
      </w:r>
      <w:hyperlink r:id="rId33" w:tgtFrame="_blank" w:history="1">
        <w:r w:rsidRPr="00DE692E">
          <w:rPr>
            <w:color w:val="000000" w:themeColor="text1"/>
          </w:rPr>
          <w:t>Penawaran Umum Perdana Saham DNAR (IPO)</w:t>
        </w:r>
      </w:hyperlink>
      <w:r w:rsidRPr="00DE692E">
        <w:rPr>
          <w:color w:val="000000" w:themeColor="text1"/>
        </w:rPr>
        <w:t> kepada masyarakat sebanyak 500.000.000 dengan nilai nominal Rp100,- per saham dengan harga penawaran Rp110,- per saham. Saham-saham tersebut dicatatkan pada Bursa Efek Indonesia (BEI) pada tanggal 11 Juli 2014.</w:t>
      </w:r>
    </w:p>
    <w:p w:rsidR="00C6022A" w:rsidRPr="00C6022A" w:rsidRDefault="003A7D4A" w:rsidP="003A7D4A">
      <w:pPr>
        <w:pStyle w:val="NormalWeb"/>
        <w:numPr>
          <w:ilvl w:val="0"/>
          <w:numId w:val="7"/>
        </w:numPr>
        <w:jc w:val="both"/>
        <w:rPr>
          <w:color w:val="000000" w:themeColor="text1"/>
        </w:rPr>
      </w:pPr>
      <w:r>
        <w:rPr>
          <w:color w:val="000000" w:themeColor="text1"/>
        </w:rPr>
        <w:t xml:space="preserve">PT </w:t>
      </w:r>
      <w:r w:rsidR="00C6022A" w:rsidRPr="00C6022A">
        <w:rPr>
          <w:color w:val="000000" w:themeColor="text1"/>
        </w:rPr>
        <w:t>Bank Mayapada Internasional Tbk</w:t>
      </w:r>
    </w:p>
    <w:p w:rsidR="003A7D4A" w:rsidRDefault="00D149F0" w:rsidP="00831DD1">
      <w:pPr>
        <w:pStyle w:val="NormalWeb"/>
        <w:spacing w:line="480" w:lineRule="auto"/>
        <w:ind w:left="720" w:firstLine="720"/>
        <w:jc w:val="both"/>
        <w:rPr>
          <w:color w:val="000000" w:themeColor="text1"/>
        </w:rPr>
      </w:pPr>
      <w:r w:rsidRPr="00DE692E">
        <w:rPr>
          <w:color w:val="000000" w:themeColor="text1"/>
        </w:rPr>
        <w:t>Bank Mayapada Internasional Tbk (</w:t>
      </w:r>
      <w:hyperlink r:id="rId34" w:tgtFrame="_blank" w:history="1">
        <w:r w:rsidRPr="00DE692E">
          <w:rPr>
            <w:color w:val="000000" w:themeColor="text1"/>
          </w:rPr>
          <w:t>MAYA</w:t>
        </w:r>
      </w:hyperlink>
      <w:r w:rsidRPr="00DE692E">
        <w:rPr>
          <w:color w:val="000000" w:themeColor="text1"/>
        </w:rPr>
        <w:t xml:space="preserve">) didirikan 07 September 1989 dan mulai beroperasi secara komersial pada tanggal 16 Maret 1990. Kantor pusat Bank Mayapada berlokasi di Mayapada Tower Lt. 2, Jl. Jendral Sudirman Kav. 28 – Jakarta. Bank Mayapada memiliki 36 kantor cabang, 77 kantor cabang pembantu, 7 kantor kas dan 85 kantor fungsional. Pemegang saham yang memiliki 5% atau lebih saham Bank Mayapada Internasional Tbk, yaitu: PT Mayapada Karunia (pengendali) </w:t>
      </w:r>
      <w:r w:rsidRPr="00DE692E">
        <w:rPr>
          <w:color w:val="000000" w:themeColor="text1"/>
        </w:rPr>
        <w:lastRenderedPageBreak/>
        <w:t>(26,42%), JPMCB – Cathay Life Insurance Co LTD 2157804777 (40,00%), Galasco Investments Limited (10,00%), dan Unity Rise Limited (7,31%). Bank Mayapada memperoleh ijin usaha sebagai bank komersial dari Kementerian Keuangan pada tanggal 16 Maret 1990 dan memperoleh ijin kegiatan usaha sebagai bank devisa dari Bank Indonesia pada tanggal 3 Juni 1993. Berdasarkan Anggaran Dasar Perusahaan, ruang lingkup kegiatan Bank Mayapada adalah menjalankan kegiatan usaha di bidang perbankan dan jasa keuangan lainnya. Pada tanggal 07 Agustus 1997, MAYA memperoleh pernyataan efektif dari Bapepam-LK untuk melakukan Penawaran Umum Perdana Saham MAYA (IPO) kepada masyarakat sebanyak 65.000.000 dengan nilai nominal Rp500,- per saham dengan harga penawaran Rp800,- per saham. Saham-saham tersebut dicatatkan pada Bursa Efek Indonesia (BEI) pada tanggal 29 Agustus 1997.</w:t>
      </w:r>
    </w:p>
    <w:p w:rsidR="00C6022A" w:rsidRDefault="003A7D4A" w:rsidP="003A7D4A">
      <w:pPr>
        <w:pStyle w:val="NormalWeb"/>
        <w:numPr>
          <w:ilvl w:val="0"/>
          <w:numId w:val="7"/>
        </w:numPr>
        <w:jc w:val="both"/>
        <w:rPr>
          <w:color w:val="000000" w:themeColor="text1"/>
        </w:rPr>
      </w:pPr>
      <w:r>
        <w:rPr>
          <w:color w:val="000000" w:themeColor="text1"/>
        </w:rPr>
        <w:t xml:space="preserve">PT </w:t>
      </w:r>
      <w:r w:rsidR="00C6022A" w:rsidRPr="002724AB">
        <w:rPr>
          <w:color w:val="000000" w:themeColor="text1"/>
        </w:rPr>
        <w:t>Bank Mega Tbk</w:t>
      </w:r>
    </w:p>
    <w:p w:rsidR="00DE692E" w:rsidRDefault="004D71AF" w:rsidP="003A7D4A">
      <w:pPr>
        <w:pStyle w:val="NormalWeb"/>
        <w:spacing w:line="480" w:lineRule="auto"/>
        <w:ind w:left="720" w:firstLine="720"/>
        <w:jc w:val="both"/>
        <w:rPr>
          <w:color w:val="000000" w:themeColor="text1"/>
        </w:rPr>
      </w:pPr>
      <w:r w:rsidRPr="002724AB">
        <w:rPr>
          <w:color w:val="000000" w:themeColor="text1"/>
        </w:rPr>
        <w:t>Bank Mega Tbk (</w:t>
      </w:r>
      <w:hyperlink r:id="rId35" w:tgtFrame="_blank" w:history="1">
        <w:r w:rsidRPr="002724AB">
          <w:rPr>
            <w:color w:val="000000" w:themeColor="text1"/>
          </w:rPr>
          <w:t>MEGA</w:t>
        </w:r>
      </w:hyperlink>
      <w:r w:rsidRPr="002724AB">
        <w:rPr>
          <w:color w:val="000000" w:themeColor="text1"/>
        </w:rPr>
        <w:t xml:space="preserve">) didirikan 15 April 1969 dengan nama PT Bank Karman dan mulai beroperasi secara komersial pada tahun 1969. Kantor pusat Bank Mega Tbk berlokasi di Menara Bank Mega, Jl. Kapten Tendean 12-14A, Jakarta 12790 – Indonesia. Bank Mega Tbk memiliki 8 kantor wilayah, 2 kantor fungsional, 54 kantor cabang dan 321 kantor cabang pembantu. </w:t>
      </w:r>
      <w:r w:rsidRPr="004D71AF">
        <w:rPr>
          <w:color w:val="000000" w:themeColor="text1"/>
        </w:rPr>
        <w:t>Pemegang saham yang memiliki 5% atau lebih saham Bank Mega Tbk (31-Mei-2022) adalah PT Mega Corpora (induk usaha), dengan kepemilikan sebesar 58,02%.</w:t>
      </w:r>
      <w:r w:rsidRPr="002724AB">
        <w:rPr>
          <w:color w:val="000000" w:themeColor="text1"/>
        </w:rPr>
        <w:t xml:space="preserve"> </w:t>
      </w:r>
      <w:r w:rsidRPr="004D71AF">
        <w:rPr>
          <w:color w:val="000000" w:themeColor="text1"/>
        </w:rPr>
        <w:t xml:space="preserve">Induk usaha terakhir Bank Mega </w:t>
      </w:r>
      <w:r w:rsidRPr="004D71AF">
        <w:rPr>
          <w:color w:val="000000" w:themeColor="text1"/>
        </w:rPr>
        <w:lastRenderedPageBreak/>
        <w:t>adalah PT CT Corpora (dahulu Para Group). Saham PT CT Corpora dimiliki 100% oleh Chairul Tanjung &amp; Keluarga.</w:t>
      </w:r>
      <w:r w:rsidRPr="002724AB">
        <w:rPr>
          <w:color w:val="000000" w:themeColor="text1"/>
        </w:rPr>
        <w:t xml:space="preserve"> </w:t>
      </w:r>
      <w:r w:rsidRPr="004D71AF">
        <w:rPr>
          <w:color w:val="000000" w:themeColor="text1"/>
        </w:rPr>
        <w:t>Berdasarkan Anggaran Dasar Perusahaan, ruang lingkup kegiatan MEGA adalah menjalankan kegiatan umum perbankan.</w:t>
      </w:r>
      <w:r w:rsidRPr="002724AB">
        <w:rPr>
          <w:color w:val="000000" w:themeColor="text1"/>
        </w:rPr>
        <w:t xml:space="preserve"> </w:t>
      </w:r>
      <w:r w:rsidRPr="004D71AF">
        <w:rPr>
          <w:color w:val="000000" w:themeColor="text1"/>
        </w:rPr>
        <w:t>Bank Mega memperoleh izin usaha sebagai bank umum dari Menteri Keuangan Republik Indonesia pada tanggal 14 Agustus 1969. Pada tanggal 2 Agustus 2000, Bank Mega memperoleh izin untuk menyelenggarakan kegiatan usaha sebagai wali amanat dari BAPEPAM-LK. Kemudian tanggal 31 Januari 2001, memperoleh izin sebagai bank devisa dari Bank Indonesia.</w:t>
      </w:r>
      <w:r w:rsidRPr="002724AB">
        <w:rPr>
          <w:color w:val="000000" w:themeColor="text1"/>
        </w:rPr>
        <w:t xml:space="preserve"> </w:t>
      </w:r>
      <w:r w:rsidRPr="004D71AF">
        <w:rPr>
          <w:color w:val="000000" w:themeColor="text1"/>
        </w:rPr>
        <w:t>Pada tanggal 15 Maret 2000, MEGA memperoleh pernyataan efektif dari Bapepam-LK untuk melakukan Penawaran Umum Perdana Saham MEGA (IPO) kepada masyarakat sebanyak 112.500.000 dengan nilai nominal Rp500,- per saham dengan harga penawaran Rp1.200,- per saham. Saham-saham tersebut dicatatkan pada Bursa Efek Indonesia (BEI) pada tanggal 17 April 2000.</w:t>
      </w:r>
    </w:p>
    <w:p w:rsidR="00C6022A" w:rsidRDefault="003A7D4A" w:rsidP="003A7D4A">
      <w:pPr>
        <w:pStyle w:val="NormalWeb"/>
        <w:numPr>
          <w:ilvl w:val="0"/>
          <w:numId w:val="7"/>
        </w:numPr>
        <w:jc w:val="both"/>
        <w:rPr>
          <w:color w:val="000000" w:themeColor="text1"/>
        </w:rPr>
      </w:pPr>
      <w:r>
        <w:rPr>
          <w:color w:val="000000" w:themeColor="text1"/>
        </w:rPr>
        <w:t xml:space="preserve"> PT B</w:t>
      </w:r>
      <w:r w:rsidR="00C6022A" w:rsidRPr="00DE692E">
        <w:rPr>
          <w:color w:val="000000" w:themeColor="text1"/>
        </w:rPr>
        <w:t>ank OCBC NISP Tbk</w:t>
      </w:r>
    </w:p>
    <w:p w:rsidR="00DE692E" w:rsidRDefault="004D71AF" w:rsidP="003A7D4A">
      <w:pPr>
        <w:pStyle w:val="NormalWeb"/>
        <w:spacing w:line="480" w:lineRule="auto"/>
        <w:ind w:left="720" w:firstLine="720"/>
        <w:jc w:val="both"/>
        <w:rPr>
          <w:color w:val="000000" w:themeColor="text1"/>
        </w:rPr>
      </w:pPr>
      <w:r w:rsidRPr="00DE692E">
        <w:rPr>
          <w:color w:val="000000" w:themeColor="text1"/>
        </w:rPr>
        <w:t>Bank OCBC NISP Tbk (dahulu Bank NISP Tbk) (</w:t>
      </w:r>
      <w:hyperlink r:id="rId36" w:tgtFrame="_blank" w:history="1">
        <w:r w:rsidRPr="00DE692E">
          <w:rPr>
            <w:color w:val="000000" w:themeColor="text1"/>
          </w:rPr>
          <w:t>NISP</w:t>
        </w:r>
      </w:hyperlink>
      <w:r w:rsidRPr="00DE692E">
        <w:rPr>
          <w:color w:val="000000" w:themeColor="text1"/>
        </w:rPr>
        <w:t>) didirikan tanggal 04 April 1941 dengan nama NV. Nederlandsch Indische Spaar En Deposito Bank dan memulai kegiatan usaha komersialnya pada tahun 1941. Kantor pusat Bank OCBC NISP Tbk terletak di OCBC NISP Tower, Jl. Prof. Dr. Satrio Kav. 25 (Casablanca), Jakarta 12940 – Indonesia. Saat ini, Bank OCBC NISP memiliki 43 kantor cabang, 145 kantor cabang pembantu, 10 kantor cabang syariah dan 1 kantor fungsional non-</w:t>
      </w:r>
      <w:r w:rsidRPr="00DE692E">
        <w:rPr>
          <w:color w:val="000000" w:themeColor="text1"/>
        </w:rPr>
        <w:lastRenderedPageBreak/>
        <w:t xml:space="preserve">operasional. Pada awal pendiriannya, NISP beroperasi sebagai bank tabungan kemudian tanggal 20 Juli 1967 NISP memperoleh izin untuk beroperasi sebagai bank umum dari Menteri Keuangan Republik Indonesia. Lalu tanggal 08 September 2009 NISP memperoleh ijin unit usaha syariah Berdasarkan Keputusan Deputi Gubernur Bank Indonesia, NISP mulai melakukan kegiatan perbankan berdasarkan prinsip syariah pada tanggal 12 Oktober 2009. Pemegang saham yang memiliki 5% atau lebih saham Bank OCBC NISP Tbk adalah OCBC Overseas Investments Pte. Ltd., dengan persentase kepemilikan sebesar 85,08%. OCBC Overseas Investments Pte. Ltd. merupakan anak perusahaan dari Oversea-Chinese Banking Corporation Limited (OCBC Bank), yang berkedudukan di singapura. Penerima manfaat akhir dari kepemilikan Bank OCBC NISP Tbk adalah Helen Wong (Wong Pik Kuen Helen), dalam jabatannya selaku Group CEO, oleh karenanya sah bertindak untuk dan atas nama Oversea-Chinese Banking Corporation Limited (OCBC Bank) selaku pemilik manfaat dari Perseroan. Berdasarkan Anggaran Dasar Perusahaan, ruang lingkup kegiatan NISP adalah melakukan kegiatan usaha di bidang bank umum termasuk kegiatan perbankan yang melaksanakan usaha syariah sesuai dengan ketentuan peraturan perundang-undangan yang berlaku. Bank OCBC NISP Tbk awalnya beroperasi sebagai bank tabungan dan kemudian memperoleh izin untuk beroperasi sebagai bank umum pada tanggal 20 Juli 1967 dari Menteri Keuangan Republik Indonesia. Selanjutnya, pada tanggal 19 Mei 1990, Bank memperoleh izin </w:t>
      </w:r>
      <w:r w:rsidRPr="00DE692E">
        <w:rPr>
          <w:color w:val="000000" w:themeColor="text1"/>
        </w:rPr>
        <w:lastRenderedPageBreak/>
        <w:t>sebagai bank devisa dari Bank Indonesia. Pada tanggal 8 September 2009, Bank memperoleh izin untuk menjalankan kegiatan perbankan berdasarkan prinsip syariah dan mulai beroperasi pada tanggal 12 Oktober 2009. Pada tanggal 11 Agustus 2016, Bank memperoleh izin dari Otoritas Jasa Keuangan untuk melakukan kegiatan layanan penitipan dengan pengelolaan (trust service) dan pada tanggal 15 Agustus 2016, Bank menerima surat penegasan terkait izin tersebut. Terakhir, pada tanggal 18 April 2022, Bank memperoleh izin jasa kustodian dari Otoritas Jasa Keuangan dan mulai beroperasi pada tanggal 8 Juni 2022. Pada tanggal 16 September 1994, NISP memperoleh pernyataan efektif dari Bapepam-LK untuk melakukan Penawaran Umum Perdana Saham NISP (IPO) kepada masyarakat sebanyak 12.500.000 dengan nilai nominal Rp1.000,- per saham dengan harga penawaran Rp3.100,- per saham. Saham-saham tersebut dicatatkan pada Bursa Efek Indonesia (BEI) pada tanggal 20 Oktober 1994.</w:t>
      </w:r>
    </w:p>
    <w:p w:rsidR="007A7C7B" w:rsidRDefault="007D1F09" w:rsidP="00210D15">
      <w:pPr>
        <w:pStyle w:val="NormalWeb"/>
        <w:spacing w:line="360" w:lineRule="auto"/>
        <w:jc w:val="both"/>
        <w:rPr>
          <w:b/>
          <w:color w:val="000000" w:themeColor="text1"/>
        </w:rPr>
      </w:pPr>
      <w:r w:rsidRPr="007D1F09">
        <w:rPr>
          <w:b/>
          <w:color w:val="000000" w:themeColor="text1"/>
        </w:rPr>
        <w:t>4.2</w:t>
      </w:r>
      <w:r w:rsidRPr="007D1F09">
        <w:rPr>
          <w:b/>
          <w:color w:val="000000" w:themeColor="text1"/>
        </w:rPr>
        <w:tab/>
        <w:t>Hasil Penelitian</w:t>
      </w:r>
    </w:p>
    <w:p w:rsidR="007D1F09" w:rsidRDefault="007D1F09" w:rsidP="00210D15">
      <w:pPr>
        <w:pStyle w:val="NormalWeb"/>
        <w:spacing w:line="480" w:lineRule="auto"/>
        <w:jc w:val="both"/>
        <w:rPr>
          <w:color w:val="000000" w:themeColor="text1"/>
        </w:rPr>
      </w:pPr>
      <w:r>
        <w:rPr>
          <w:b/>
          <w:color w:val="000000" w:themeColor="text1"/>
        </w:rPr>
        <w:tab/>
      </w:r>
      <w:r w:rsidR="00210D15">
        <w:rPr>
          <w:color w:val="000000" w:themeColor="text1"/>
        </w:rPr>
        <w:t xml:space="preserve">Subjek dalam penelitian ini adalah perusahaan perbankan yang terdaftar di Bursa Efek Indonesia (BEI) periode 2018 </w:t>
      </w:r>
      <w:r w:rsidR="00A82D68">
        <w:rPr>
          <w:color w:val="000000" w:themeColor="text1"/>
        </w:rPr>
        <w:t>–</w:t>
      </w:r>
      <w:r w:rsidR="00210D15">
        <w:rPr>
          <w:color w:val="000000" w:themeColor="text1"/>
        </w:rPr>
        <w:t xml:space="preserve"> 2022</w:t>
      </w:r>
      <w:r w:rsidR="00A82D68">
        <w:rPr>
          <w:color w:val="000000" w:themeColor="text1"/>
        </w:rPr>
        <w:t xml:space="preserve">. Data yang akan dideskripsikan adalah data </w:t>
      </w:r>
      <w:r w:rsidR="00A82D68" w:rsidRPr="00A82D68">
        <w:rPr>
          <w:i/>
          <w:color w:val="000000" w:themeColor="text1"/>
        </w:rPr>
        <w:t>Loan to Deposit Ratio</w:t>
      </w:r>
      <w:r w:rsidR="00A82D68">
        <w:rPr>
          <w:i/>
          <w:color w:val="000000" w:themeColor="text1"/>
        </w:rPr>
        <w:t xml:space="preserve"> </w:t>
      </w:r>
      <w:r w:rsidR="00127B17">
        <w:rPr>
          <w:color w:val="000000" w:themeColor="text1"/>
        </w:rPr>
        <w:t xml:space="preserve">(LDR) (X1), </w:t>
      </w:r>
      <w:r w:rsidR="00127B17" w:rsidRPr="00127B17">
        <w:rPr>
          <w:i/>
          <w:color w:val="000000" w:themeColor="text1"/>
        </w:rPr>
        <w:t>Net Intersert Margin</w:t>
      </w:r>
      <w:r w:rsidR="00127B17">
        <w:rPr>
          <w:color w:val="000000" w:themeColor="text1"/>
        </w:rPr>
        <w:t xml:space="preserve"> (NIM)</w:t>
      </w:r>
      <w:r w:rsidR="002A6056">
        <w:rPr>
          <w:color w:val="000000" w:themeColor="text1"/>
        </w:rPr>
        <w:t xml:space="preserve"> (X2) dan </w:t>
      </w:r>
      <w:r w:rsidR="002A6056" w:rsidRPr="002A6056">
        <w:rPr>
          <w:i/>
          <w:color w:val="000000" w:themeColor="text1"/>
        </w:rPr>
        <w:t>Return On Asset</w:t>
      </w:r>
      <w:r w:rsidR="002A6056">
        <w:rPr>
          <w:color w:val="000000" w:themeColor="text1"/>
        </w:rPr>
        <w:t xml:space="preserve"> (ROA) (Y).</w:t>
      </w:r>
      <w:r w:rsidR="00B40E6C">
        <w:rPr>
          <w:color w:val="000000" w:themeColor="text1"/>
        </w:rPr>
        <w:t xml:space="preserve"> </w:t>
      </w:r>
      <w:r w:rsidR="00C459BF">
        <w:rPr>
          <w:color w:val="000000" w:themeColor="text1"/>
        </w:rPr>
        <w:t>Berikut dibawah ini p</w:t>
      </w:r>
      <w:r w:rsidR="00B40E6C">
        <w:rPr>
          <w:color w:val="000000" w:themeColor="text1"/>
        </w:rPr>
        <w:t xml:space="preserve">erhitungan </w:t>
      </w:r>
      <w:r w:rsidR="00B40E6C" w:rsidRPr="00A82D68">
        <w:rPr>
          <w:i/>
          <w:color w:val="000000" w:themeColor="text1"/>
        </w:rPr>
        <w:t>Loan to Deposit Ratio</w:t>
      </w:r>
      <w:r w:rsidR="00B40E6C">
        <w:rPr>
          <w:i/>
          <w:color w:val="000000" w:themeColor="text1"/>
        </w:rPr>
        <w:t xml:space="preserve"> </w:t>
      </w:r>
      <w:r w:rsidR="00B40E6C">
        <w:rPr>
          <w:color w:val="000000" w:themeColor="text1"/>
        </w:rPr>
        <w:t xml:space="preserve">(LDR), </w:t>
      </w:r>
      <w:r w:rsidR="00B40E6C" w:rsidRPr="00127B17">
        <w:rPr>
          <w:i/>
          <w:color w:val="000000" w:themeColor="text1"/>
        </w:rPr>
        <w:t>Net Intersert Margin</w:t>
      </w:r>
      <w:r w:rsidR="00B40E6C">
        <w:rPr>
          <w:color w:val="000000" w:themeColor="text1"/>
        </w:rPr>
        <w:t xml:space="preserve"> (NIM) dan </w:t>
      </w:r>
      <w:r w:rsidR="00B40E6C" w:rsidRPr="002A6056">
        <w:rPr>
          <w:i/>
          <w:color w:val="000000" w:themeColor="text1"/>
        </w:rPr>
        <w:t>Return On Asset</w:t>
      </w:r>
      <w:r w:rsidR="00B40E6C">
        <w:rPr>
          <w:color w:val="000000" w:themeColor="text1"/>
        </w:rPr>
        <w:t xml:space="preserve"> (ROA) </w:t>
      </w:r>
      <w:r w:rsidR="00C459BF">
        <w:rPr>
          <w:color w:val="000000" w:themeColor="text1"/>
        </w:rPr>
        <w:t>yang terdaftar di Bursa Efek Indonesia (BEI) periode 2018 – 2022 :</w:t>
      </w:r>
    </w:p>
    <w:p w:rsidR="00C459BF" w:rsidRDefault="00C459BF" w:rsidP="00C459BF">
      <w:pPr>
        <w:pStyle w:val="Caption"/>
        <w:jc w:val="center"/>
        <w:rPr>
          <w:rFonts w:ascii="Times New Roman" w:hAnsi="Times New Roman" w:cs="Times New Roman"/>
          <w:color w:val="000000" w:themeColor="text1"/>
          <w:sz w:val="24"/>
          <w:szCs w:val="24"/>
        </w:rPr>
      </w:pPr>
      <w:r w:rsidRPr="00C459BF">
        <w:rPr>
          <w:rFonts w:ascii="Times New Roman" w:hAnsi="Times New Roman" w:cs="Times New Roman"/>
          <w:color w:val="000000" w:themeColor="text1"/>
          <w:sz w:val="24"/>
          <w:szCs w:val="24"/>
        </w:rPr>
        <w:lastRenderedPageBreak/>
        <w:t xml:space="preserve">Tabel 4. </w:t>
      </w:r>
      <w:r w:rsidRPr="00C459BF">
        <w:rPr>
          <w:rFonts w:ascii="Times New Roman" w:hAnsi="Times New Roman" w:cs="Times New Roman"/>
          <w:color w:val="000000" w:themeColor="text1"/>
          <w:sz w:val="24"/>
          <w:szCs w:val="24"/>
        </w:rPr>
        <w:fldChar w:fldCharType="begin"/>
      </w:r>
      <w:r w:rsidRPr="00C459BF">
        <w:rPr>
          <w:rFonts w:ascii="Times New Roman" w:hAnsi="Times New Roman" w:cs="Times New Roman"/>
          <w:color w:val="000000" w:themeColor="text1"/>
          <w:sz w:val="24"/>
          <w:szCs w:val="24"/>
        </w:rPr>
        <w:instrText xml:space="preserve"> SEQ Tabel_4. \* ARABIC </w:instrText>
      </w:r>
      <w:r w:rsidRPr="00C459BF">
        <w:rPr>
          <w:rFonts w:ascii="Times New Roman" w:hAnsi="Times New Roman" w:cs="Times New Roman"/>
          <w:color w:val="000000" w:themeColor="text1"/>
          <w:sz w:val="24"/>
          <w:szCs w:val="24"/>
        </w:rPr>
        <w:fldChar w:fldCharType="separate"/>
      </w:r>
      <w:r w:rsidR="009D44B4">
        <w:rPr>
          <w:rFonts w:ascii="Times New Roman" w:hAnsi="Times New Roman" w:cs="Times New Roman"/>
          <w:noProof/>
          <w:color w:val="000000" w:themeColor="text1"/>
          <w:sz w:val="24"/>
          <w:szCs w:val="24"/>
        </w:rPr>
        <w:t>1</w:t>
      </w:r>
      <w:r w:rsidRPr="00C459BF">
        <w:rPr>
          <w:rFonts w:ascii="Times New Roman" w:hAnsi="Times New Roman" w:cs="Times New Roman"/>
          <w:color w:val="000000" w:themeColor="text1"/>
          <w:sz w:val="24"/>
          <w:szCs w:val="24"/>
        </w:rPr>
        <w:fldChar w:fldCharType="end"/>
      </w:r>
      <w:r w:rsidRPr="00C459BF">
        <w:rPr>
          <w:rFonts w:ascii="Times New Roman" w:hAnsi="Times New Roman" w:cs="Times New Roman"/>
          <w:color w:val="000000" w:themeColor="text1"/>
          <w:sz w:val="24"/>
          <w:szCs w:val="24"/>
        </w:rPr>
        <w:t xml:space="preserve"> Data </w:t>
      </w:r>
      <w:r w:rsidRPr="00C459BF">
        <w:rPr>
          <w:rFonts w:ascii="Times New Roman" w:hAnsi="Times New Roman" w:cs="Times New Roman"/>
          <w:i/>
          <w:color w:val="000000" w:themeColor="text1"/>
          <w:sz w:val="24"/>
          <w:szCs w:val="24"/>
        </w:rPr>
        <w:t>Loan to Deposit Ratio</w:t>
      </w:r>
      <w:r w:rsidRPr="00C459BF">
        <w:rPr>
          <w:rFonts w:ascii="Times New Roman" w:hAnsi="Times New Roman" w:cs="Times New Roman"/>
          <w:color w:val="000000" w:themeColor="text1"/>
          <w:sz w:val="24"/>
          <w:szCs w:val="24"/>
        </w:rPr>
        <w:t xml:space="preserve"> (LDR)</w:t>
      </w:r>
    </w:p>
    <w:tbl>
      <w:tblPr>
        <w:tblW w:w="6320" w:type="dxa"/>
        <w:jc w:val="center"/>
        <w:tblInd w:w="93" w:type="dxa"/>
        <w:tblLook w:val="04A0" w:firstRow="1" w:lastRow="0" w:firstColumn="1" w:lastColumn="0" w:noHBand="0" w:noVBand="1"/>
      </w:tblPr>
      <w:tblGrid>
        <w:gridCol w:w="510"/>
        <w:gridCol w:w="960"/>
        <w:gridCol w:w="1076"/>
        <w:gridCol w:w="1076"/>
        <w:gridCol w:w="1363"/>
        <w:gridCol w:w="1076"/>
        <w:gridCol w:w="1076"/>
      </w:tblGrid>
      <w:tr w:rsidR="00B822B9" w:rsidRPr="00B822B9" w:rsidTr="00B822B9">
        <w:trPr>
          <w:trHeight w:val="315"/>
          <w:jc w:val="center"/>
        </w:trPr>
        <w:tc>
          <w:tcPr>
            <w:tcW w:w="340" w:type="dxa"/>
            <w:vMerge w:val="restart"/>
            <w:tcBorders>
              <w:top w:val="single" w:sz="4" w:space="0" w:color="auto"/>
              <w:left w:val="single" w:sz="4" w:space="0" w:color="auto"/>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No</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Kode</w:t>
            </w:r>
          </w:p>
        </w:tc>
        <w:tc>
          <w:tcPr>
            <w:tcW w:w="5020" w:type="dxa"/>
            <w:gridSpan w:val="5"/>
            <w:tcBorders>
              <w:top w:val="single" w:sz="4" w:space="0" w:color="auto"/>
              <w:left w:val="nil"/>
              <w:bottom w:val="single" w:sz="4" w:space="0" w:color="auto"/>
              <w:right w:val="single" w:sz="4" w:space="0" w:color="auto"/>
            </w:tcBorders>
            <w:shd w:val="clear" w:color="000000" w:fill="FABF8F"/>
            <w:noWrap/>
            <w:vAlign w:val="bottom"/>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Tahun</w:t>
            </w:r>
          </w:p>
        </w:tc>
      </w:tr>
      <w:tr w:rsidR="00B822B9" w:rsidRPr="00B822B9" w:rsidTr="00B822B9">
        <w:trPr>
          <w:trHeight w:val="315"/>
          <w:jc w:val="center"/>
        </w:trPr>
        <w:tc>
          <w:tcPr>
            <w:tcW w:w="340" w:type="dxa"/>
            <w:vMerge/>
            <w:tcBorders>
              <w:top w:val="single" w:sz="4" w:space="0" w:color="auto"/>
              <w:left w:val="single" w:sz="4" w:space="0" w:color="auto"/>
              <w:bottom w:val="single" w:sz="4" w:space="0" w:color="auto"/>
              <w:right w:val="single" w:sz="4" w:space="0" w:color="auto"/>
            </w:tcBorders>
            <w:vAlign w:val="center"/>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p>
        </w:tc>
        <w:tc>
          <w:tcPr>
            <w:tcW w:w="944" w:type="dxa"/>
            <w:tcBorders>
              <w:top w:val="nil"/>
              <w:left w:val="nil"/>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2018</w:t>
            </w:r>
          </w:p>
        </w:tc>
        <w:tc>
          <w:tcPr>
            <w:tcW w:w="943" w:type="dxa"/>
            <w:tcBorders>
              <w:top w:val="nil"/>
              <w:left w:val="nil"/>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2019</w:t>
            </w:r>
          </w:p>
        </w:tc>
        <w:tc>
          <w:tcPr>
            <w:tcW w:w="1247" w:type="dxa"/>
            <w:tcBorders>
              <w:top w:val="nil"/>
              <w:left w:val="nil"/>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2020</w:t>
            </w:r>
          </w:p>
        </w:tc>
        <w:tc>
          <w:tcPr>
            <w:tcW w:w="943" w:type="dxa"/>
            <w:tcBorders>
              <w:top w:val="nil"/>
              <w:left w:val="nil"/>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2021</w:t>
            </w:r>
          </w:p>
        </w:tc>
        <w:tc>
          <w:tcPr>
            <w:tcW w:w="943" w:type="dxa"/>
            <w:tcBorders>
              <w:top w:val="nil"/>
              <w:left w:val="nil"/>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2022</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AGRO</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86,75%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91,59%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84,76%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86,01%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79,13%</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BABP</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88,64%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89,59%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77,32%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75,61%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76,96%</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BACA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51,96%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60,55%</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39,33%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12,35%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20,53%</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BBCA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81,60%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80,50%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65,80%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62,00%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65,20%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BBNI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88,80%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91,50%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87,30%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79,70%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84,20%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BBRI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88,96%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88,64%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83,66%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83,67%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79,17%</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BBTN</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103,49%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113,50%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93,19%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92,86%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92,65%</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BBYB</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107,66%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94,14%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96,71%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224,01%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127,28%</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BCIC</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77,43%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48,77%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56,26%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62,81%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76,11%</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BDMN</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95,00%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98,90%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84,00%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84,60%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91,00%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BEKS</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82,86%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95,59%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146,77%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66,47%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88,80%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BJBR</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91,89%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96,07%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86,32%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81,68%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85,03%</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BNGA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97,18%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97,64%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82,91%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74,35%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85,63%</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14</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BNII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96,46%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94,13%</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79,25%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76,28%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86,92%</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15</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BNLI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90,10%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86,30%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78,70%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69,00%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68,90%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16</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BSIM</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84,24%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81,95%</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56,97%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41,22%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41,07%</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BSWD</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99,48%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81,69%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79,89%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87,88%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105,59%</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18</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BTPN</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96,20%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163,00%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134,20%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123,10%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126,70%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BVIC</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73,61%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74,46%</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75,64%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81,25%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81,69%</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DNAR</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114,92%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115,57%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120,98%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130,25%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146,06%</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MAYA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91,83%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93,34%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77,80%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71,65%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79,65%</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MEGA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67,23%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69,67%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60,04%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60,96%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68,04%</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NISP</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93,51%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94,08%</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71,81%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71,70%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77,22%</w:t>
            </w:r>
          </w:p>
        </w:tc>
      </w:tr>
      <w:tr w:rsidR="00B822B9" w:rsidRPr="00B822B9" w:rsidTr="00B822B9">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AVERAGE</w:t>
            </w:r>
          </w:p>
        </w:tc>
        <w:tc>
          <w:tcPr>
            <w:tcW w:w="944"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89,12%</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91,36%</w:t>
            </w: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83,46%</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82,58%</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84,07%</w:t>
            </w:r>
          </w:p>
        </w:tc>
      </w:tr>
      <w:tr w:rsidR="00B822B9" w:rsidRPr="00B822B9" w:rsidTr="00B822B9">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MIN</w:t>
            </w:r>
          </w:p>
        </w:tc>
        <w:tc>
          <w:tcPr>
            <w:tcW w:w="944"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51,96%</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48,77%</w:t>
            </w: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39,33%</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12,35%</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20,53%</w:t>
            </w:r>
          </w:p>
        </w:tc>
      </w:tr>
      <w:tr w:rsidR="00B822B9" w:rsidRPr="00B822B9" w:rsidTr="00B822B9">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MAX</w:t>
            </w:r>
          </w:p>
        </w:tc>
        <w:tc>
          <w:tcPr>
            <w:tcW w:w="944"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114,92%</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163,00%</w:t>
            </w: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146,77%</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224,01%</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146,06%</w:t>
            </w:r>
          </w:p>
        </w:tc>
      </w:tr>
      <w:tr w:rsidR="00B822B9" w:rsidRPr="00B822B9" w:rsidTr="00B822B9">
        <w:trPr>
          <w:trHeight w:val="300"/>
          <w:jc w:val="center"/>
        </w:trPr>
        <w:tc>
          <w:tcPr>
            <w:tcW w:w="3187" w:type="dxa"/>
            <w:gridSpan w:val="4"/>
            <w:vMerge w:val="restart"/>
            <w:tcBorders>
              <w:top w:val="single" w:sz="4" w:space="0" w:color="auto"/>
              <w:left w:val="single" w:sz="4" w:space="0" w:color="auto"/>
              <w:bottom w:val="single" w:sz="4" w:space="0" w:color="auto"/>
              <w:right w:val="single" w:sz="4" w:space="0" w:color="auto"/>
            </w:tcBorders>
            <w:shd w:val="clear" w:color="000000" w:fill="B8CCE4"/>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Nilai rata - rata per 5 tahun</w:t>
            </w:r>
          </w:p>
        </w:tc>
        <w:tc>
          <w:tcPr>
            <w:tcW w:w="1247" w:type="dxa"/>
            <w:tcBorders>
              <w:top w:val="nil"/>
              <w:left w:val="nil"/>
              <w:bottom w:val="single" w:sz="4" w:space="0" w:color="auto"/>
              <w:right w:val="single" w:sz="4" w:space="0" w:color="auto"/>
            </w:tcBorders>
            <w:shd w:val="clear" w:color="000000" w:fill="B8CCE4"/>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AVERAGE</w:t>
            </w:r>
          </w:p>
        </w:tc>
        <w:tc>
          <w:tcPr>
            <w:tcW w:w="943" w:type="dxa"/>
            <w:tcBorders>
              <w:top w:val="nil"/>
              <w:left w:val="nil"/>
              <w:bottom w:val="single" w:sz="4" w:space="0" w:color="auto"/>
              <w:right w:val="single" w:sz="4" w:space="0" w:color="auto"/>
            </w:tcBorders>
            <w:shd w:val="clear" w:color="000000" w:fill="B8CCE4"/>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MIN</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MAX</w:t>
            </w:r>
          </w:p>
        </w:tc>
      </w:tr>
      <w:tr w:rsidR="00B822B9" w:rsidRPr="00B822B9" w:rsidTr="00B822B9">
        <w:trPr>
          <w:trHeight w:val="315"/>
          <w:jc w:val="center"/>
        </w:trPr>
        <w:tc>
          <w:tcPr>
            <w:tcW w:w="3187" w:type="dxa"/>
            <w:gridSpan w:val="4"/>
            <w:vMerge/>
            <w:tcBorders>
              <w:top w:val="single" w:sz="4" w:space="0" w:color="auto"/>
              <w:left w:val="single" w:sz="4" w:space="0" w:color="auto"/>
              <w:bottom w:val="single" w:sz="4" w:space="0" w:color="auto"/>
              <w:right w:val="single" w:sz="4" w:space="0" w:color="auto"/>
            </w:tcBorders>
            <w:vAlign w:val="center"/>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86,12%</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12,35%</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224,01%</w:t>
            </w:r>
          </w:p>
        </w:tc>
      </w:tr>
    </w:tbl>
    <w:p w:rsidR="00C459BF" w:rsidRDefault="00DC08FE" w:rsidP="00B822B9">
      <w:pPr>
        <w:spacing w:line="480" w:lineRule="auto"/>
        <w:ind w:firstLine="426"/>
        <w:rPr>
          <w:rFonts w:ascii="Times New Roman" w:hAnsi="Times New Roman" w:cs="Times New Roman"/>
          <w:sz w:val="24"/>
        </w:rPr>
      </w:pPr>
      <w:r w:rsidRPr="00DC08FE">
        <w:rPr>
          <w:rFonts w:ascii="Times New Roman" w:hAnsi="Times New Roman" w:cs="Times New Roman"/>
          <w:sz w:val="24"/>
        </w:rPr>
        <w:t>Sumber : Data diolah, 2023</w:t>
      </w:r>
    </w:p>
    <w:p w:rsidR="00DC08FE" w:rsidRDefault="00DC08FE" w:rsidP="00DC08FE">
      <w:pPr>
        <w:pStyle w:val="Caption"/>
        <w:jc w:val="center"/>
        <w:rPr>
          <w:rFonts w:ascii="Times New Roman" w:hAnsi="Times New Roman" w:cs="Times New Roman"/>
          <w:color w:val="000000" w:themeColor="text1"/>
          <w:sz w:val="24"/>
        </w:rPr>
      </w:pPr>
      <w:r w:rsidRPr="00DC08FE">
        <w:rPr>
          <w:rFonts w:ascii="Times New Roman" w:hAnsi="Times New Roman" w:cs="Times New Roman"/>
          <w:color w:val="000000" w:themeColor="text1"/>
          <w:sz w:val="24"/>
        </w:rPr>
        <w:t xml:space="preserve">Tabel 4. </w:t>
      </w:r>
      <w:r w:rsidRPr="00DC08FE">
        <w:rPr>
          <w:rFonts w:ascii="Times New Roman" w:hAnsi="Times New Roman" w:cs="Times New Roman"/>
          <w:color w:val="000000" w:themeColor="text1"/>
          <w:sz w:val="24"/>
        </w:rPr>
        <w:fldChar w:fldCharType="begin"/>
      </w:r>
      <w:r w:rsidRPr="00DC08FE">
        <w:rPr>
          <w:rFonts w:ascii="Times New Roman" w:hAnsi="Times New Roman" w:cs="Times New Roman"/>
          <w:color w:val="000000" w:themeColor="text1"/>
          <w:sz w:val="24"/>
        </w:rPr>
        <w:instrText xml:space="preserve"> SEQ Tabel_4. \* ARABIC </w:instrText>
      </w:r>
      <w:r w:rsidRPr="00DC08FE">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2</w:t>
      </w:r>
      <w:r w:rsidRPr="00DC08FE">
        <w:rPr>
          <w:rFonts w:ascii="Times New Roman" w:hAnsi="Times New Roman" w:cs="Times New Roman"/>
          <w:color w:val="000000" w:themeColor="text1"/>
          <w:sz w:val="24"/>
        </w:rPr>
        <w:fldChar w:fldCharType="end"/>
      </w:r>
      <w:r w:rsidRPr="00DC08FE">
        <w:rPr>
          <w:rFonts w:ascii="Times New Roman" w:hAnsi="Times New Roman" w:cs="Times New Roman"/>
          <w:color w:val="000000" w:themeColor="text1"/>
          <w:sz w:val="24"/>
        </w:rPr>
        <w:t xml:space="preserve"> Data Net Interest Margin (NIM)</w:t>
      </w:r>
    </w:p>
    <w:tbl>
      <w:tblPr>
        <w:tblW w:w="6554" w:type="dxa"/>
        <w:jc w:val="center"/>
        <w:tblInd w:w="93" w:type="dxa"/>
        <w:tblLook w:val="04A0" w:firstRow="1" w:lastRow="0" w:firstColumn="1" w:lastColumn="0" w:noHBand="0" w:noVBand="1"/>
      </w:tblPr>
      <w:tblGrid>
        <w:gridCol w:w="510"/>
        <w:gridCol w:w="960"/>
        <w:gridCol w:w="956"/>
        <w:gridCol w:w="836"/>
        <w:gridCol w:w="1363"/>
        <w:gridCol w:w="1044"/>
        <w:gridCol w:w="956"/>
      </w:tblGrid>
      <w:tr w:rsidR="004B35F0" w:rsidRPr="004B35F0" w:rsidTr="00422FDF">
        <w:trPr>
          <w:trHeight w:val="315"/>
          <w:tblHeader/>
          <w:jc w:val="center"/>
        </w:trPr>
        <w:tc>
          <w:tcPr>
            <w:tcW w:w="510" w:type="dxa"/>
            <w:vMerge w:val="restart"/>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No</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Kode</w:t>
            </w:r>
          </w:p>
        </w:tc>
        <w:tc>
          <w:tcPr>
            <w:tcW w:w="5084" w:type="dxa"/>
            <w:gridSpan w:val="5"/>
            <w:tcBorders>
              <w:top w:val="single" w:sz="4" w:space="0" w:color="auto"/>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Tahun</w:t>
            </w:r>
          </w:p>
        </w:tc>
      </w:tr>
      <w:tr w:rsidR="004B35F0" w:rsidRPr="004B35F0" w:rsidTr="00422FDF">
        <w:trPr>
          <w:trHeight w:val="315"/>
          <w:tblHeader/>
          <w:jc w:val="center"/>
        </w:trPr>
        <w:tc>
          <w:tcPr>
            <w:tcW w:w="510" w:type="dxa"/>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956"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2018</w:t>
            </w:r>
          </w:p>
        </w:tc>
        <w:tc>
          <w:tcPr>
            <w:tcW w:w="836"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2019</w:t>
            </w:r>
          </w:p>
        </w:tc>
        <w:tc>
          <w:tcPr>
            <w:tcW w:w="1292"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2020</w:t>
            </w:r>
          </w:p>
        </w:tc>
        <w:tc>
          <w:tcPr>
            <w:tcW w:w="1044"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2021</w:t>
            </w:r>
          </w:p>
        </w:tc>
        <w:tc>
          <w:tcPr>
            <w:tcW w:w="956"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2022</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AGRO</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3,50%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3,01%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2,40%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3,87%</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4,56%</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BABP</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4,10%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4,17%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4,01%</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3,80%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4,95%</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lastRenderedPageBreak/>
              <w:t>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BACA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4,20%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3,50%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1,10%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-3,52%</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-2,33%</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BBCA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6,10%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6,20%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5,70%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5,10%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5,30%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BBNI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5,30%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4,90%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4,50%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4,70%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4,80%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BBRI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7,45%</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6,98%</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6,00%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6,89%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6,80%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BBTN</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4,32%</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3,32%</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3,06%</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3,99%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4,40%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BBYB</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5,99%</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4,86%</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4,03%</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5,15%</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13,83%</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BCIC</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2,28%</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0,39%</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0,22%</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0,82%</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2,77%</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BDMN</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8,90%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8,30%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7,40%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7,50%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7,70%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BEKS</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1,96%</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1,14%</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0,56%</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1,28%</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2,79%</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BJBR</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6,37%</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5,75%</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5,39%</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5,84%</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5,86%</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BNGA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5,12%</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5,31%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4,88%</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4,86%</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4,69%</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BNII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5,24%</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5,07%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4,55%</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4,69%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5,05%</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BNLI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4,10%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4,40%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4,60%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4,00%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4,30%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BSIM</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7,61%</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7,31%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6,25%</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5,79%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5,68%</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BSWD</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3,84%</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4,41%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2,68%</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2,95%</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3,30%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BTPN</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11,30%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6,90%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6,10%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6,60%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6,30%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BVIC</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1,82%</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1,07%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0,82%</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2,36%</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3,52%</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DNAR</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6,04%</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5,47%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5,25%</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5,09%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5,68%</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MAYA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4,09%</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3,61%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0,47%</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0,69%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1,92%</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MEGA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5,19%</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4,90%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4,42%</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4,75%</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5,42%</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NISP</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4,15%</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3,96%</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3,96%</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3,82%</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4,04%</w:t>
            </w:r>
          </w:p>
        </w:tc>
      </w:tr>
      <w:tr w:rsidR="004B35F0" w:rsidRPr="004B35F0" w:rsidTr="00422FDF">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AVERAGE</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5,17%</w:t>
            </w:r>
          </w:p>
        </w:tc>
        <w:tc>
          <w:tcPr>
            <w:tcW w:w="83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4,56%</w:t>
            </w: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3,84%</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3,96%</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4,84%</w:t>
            </w:r>
          </w:p>
        </w:tc>
      </w:tr>
      <w:tr w:rsidR="004B35F0" w:rsidRPr="004B35F0" w:rsidTr="00422FDF">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MIN</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1,82%</w:t>
            </w:r>
          </w:p>
        </w:tc>
        <w:tc>
          <w:tcPr>
            <w:tcW w:w="83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0,39%</w:t>
            </w: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0,22%</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-3,52%</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-2,33%</w:t>
            </w:r>
          </w:p>
        </w:tc>
      </w:tr>
      <w:tr w:rsidR="004B35F0" w:rsidRPr="004B35F0" w:rsidTr="00422FDF">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MAX</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11,30%</w:t>
            </w:r>
          </w:p>
        </w:tc>
        <w:tc>
          <w:tcPr>
            <w:tcW w:w="83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8,30%</w:t>
            </w: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7,40%</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7,50%</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13,83%</w:t>
            </w:r>
          </w:p>
        </w:tc>
      </w:tr>
      <w:tr w:rsidR="004B35F0" w:rsidRPr="004B35F0" w:rsidTr="00422FDF">
        <w:trPr>
          <w:trHeight w:val="300"/>
          <w:jc w:val="center"/>
        </w:trPr>
        <w:tc>
          <w:tcPr>
            <w:tcW w:w="3262" w:type="dxa"/>
            <w:gridSpan w:val="4"/>
            <w:vMerge w:val="restart"/>
            <w:tcBorders>
              <w:top w:val="single" w:sz="4" w:space="0" w:color="auto"/>
              <w:left w:val="single" w:sz="4" w:space="0" w:color="auto"/>
              <w:bottom w:val="single" w:sz="4" w:space="0" w:color="auto"/>
              <w:right w:val="single" w:sz="4" w:space="0" w:color="auto"/>
            </w:tcBorders>
            <w:shd w:val="clear" w:color="000000" w:fill="FABF8F"/>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Nilai rata - rata per 5 tahun</w:t>
            </w:r>
          </w:p>
        </w:tc>
        <w:tc>
          <w:tcPr>
            <w:tcW w:w="1292" w:type="dxa"/>
            <w:tcBorders>
              <w:top w:val="nil"/>
              <w:left w:val="nil"/>
              <w:bottom w:val="single" w:sz="4" w:space="0" w:color="auto"/>
              <w:right w:val="single" w:sz="4" w:space="0" w:color="auto"/>
            </w:tcBorders>
            <w:shd w:val="clear" w:color="000000" w:fill="FABF8F"/>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AVERAGE</w:t>
            </w:r>
          </w:p>
        </w:tc>
        <w:tc>
          <w:tcPr>
            <w:tcW w:w="1044" w:type="dxa"/>
            <w:tcBorders>
              <w:top w:val="nil"/>
              <w:left w:val="nil"/>
              <w:bottom w:val="single" w:sz="4" w:space="0" w:color="auto"/>
              <w:right w:val="single" w:sz="4" w:space="0" w:color="auto"/>
            </w:tcBorders>
            <w:shd w:val="clear" w:color="000000" w:fill="FABF8F"/>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MIN</w:t>
            </w:r>
          </w:p>
        </w:tc>
        <w:tc>
          <w:tcPr>
            <w:tcW w:w="956" w:type="dxa"/>
            <w:tcBorders>
              <w:top w:val="nil"/>
              <w:left w:val="nil"/>
              <w:bottom w:val="single" w:sz="4" w:space="0" w:color="auto"/>
              <w:right w:val="single" w:sz="4" w:space="0" w:color="auto"/>
            </w:tcBorders>
            <w:shd w:val="clear" w:color="000000" w:fill="FABF8F"/>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MAX</w:t>
            </w:r>
          </w:p>
        </w:tc>
      </w:tr>
      <w:tr w:rsidR="004B35F0" w:rsidRPr="004B35F0" w:rsidTr="00422FDF">
        <w:trPr>
          <w:trHeight w:val="315"/>
          <w:jc w:val="center"/>
        </w:trPr>
        <w:tc>
          <w:tcPr>
            <w:tcW w:w="3262" w:type="dxa"/>
            <w:gridSpan w:val="4"/>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4,47%</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-3,52%</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13,83%</w:t>
            </w:r>
          </w:p>
        </w:tc>
      </w:tr>
    </w:tbl>
    <w:p w:rsidR="00DC08FE" w:rsidRDefault="00DC08FE" w:rsidP="004B35F0">
      <w:pPr>
        <w:spacing w:line="480" w:lineRule="auto"/>
        <w:ind w:firstLine="720"/>
        <w:rPr>
          <w:rFonts w:ascii="Times New Roman" w:hAnsi="Times New Roman" w:cs="Times New Roman"/>
          <w:sz w:val="24"/>
        </w:rPr>
      </w:pPr>
      <w:r w:rsidRPr="00DC08FE">
        <w:rPr>
          <w:rFonts w:ascii="Times New Roman" w:hAnsi="Times New Roman" w:cs="Times New Roman"/>
          <w:sz w:val="24"/>
        </w:rPr>
        <w:t>Sumber : Data diolah,2023</w:t>
      </w:r>
    </w:p>
    <w:p w:rsidR="00A11EF4" w:rsidRDefault="00A11EF4" w:rsidP="00A11EF4">
      <w:pPr>
        <w:pStyle w:val="Caption"/>
        <w:jc w:val="center"/>
        <w:rPr>
          <w:rFonts w:ascii="Times New Roman" w:hAnsi="Times New Roman" w:cs="Times New Roman"/>
          <w:color w:val="000000" w:themeColor="text1"/>
          <w:sz w:val="24"/>
        </w:rPr>
      </w:pPr>
      <w:r w:rsidRPr="00A11EF4">
        <w:rPr>
          <w:rFonts w:ascii="Times New Roman" w:hAnsi="Times New Roman" w:cs="Times New Roman"/>
          <w:color w:val="000000" w:themeColor="text1"/>
          <w:sz w:val="24"/>
        </w:rPr>
        <w:t xml:space="preserve">Tabel 4. </w:t>
      </w:r>
      <w:r w:rsidRPr="00A11EF4">
        <w:rPr>
          <w:rFonts w:ascii="Times New Roman" w:hAnsi="Times New Roman" w:cs="Times New Roman"/>
          <w:color w:val="000000" w:themeColor="text1"/>
          <w:sz w:val="24"/>
        </w:rPr>
        <w:fldChar w:fldCharType="begin"/>
      </w:r>
      <w:r w:rsidRPr="00A11EF4">
        <w:rPr>
          <w:rFonts w:ascii="Times New Roman" w:hAnsi="Times New Roman" w:cs="Times New Roman"/>
          <w:color w:val="000000" w:themeColor="text1"/>
          <w:sz w:val="24"/>
        </w:rPr>
        <w:instrText xml:space="preserve"> SEQ Tabel_4. \* ARABIC </w:instrText>
      </w:r>
      <w:r w:rsidRPr="00A11EF4">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3</w:t>
      </w:r>
      <w:r w:rsidRPr="00A11EF4">
        <w:rPr>
          <w:rFonts w:ascii="Times New Roman" w:hAnsi="Times New Roman" w:cs="Times New Roman"/>
          <w:color w:val="000000" w:themeColor="text1"/>
          <w:sz w:val="24"/>
        </w:rPr>
        <w:fldChar w:fldCharType="end"/>
      </w:r>
      <w:r w:rsidRPr="00A11EF4">
        <w:rPr>
          <w:rFonts w:ascii="Times New Roman" w:hAnsi="Times New Roman" w:cs="Times New Roman"/>
          <w:color w:val="000000" w:themeColor="text1"/>
          <w:sz w:val="24"/>
        </w:rPr>
        <w:t xml:space="preserve"> Data Return On Asset (ROA)</w:t>
      </w:r>
    </w:p>
    <w:tbl>
      <w:tblPr>
        <w:tblW w:w="7042" w:type="dxa"/>
        <w:jc w:val="center"/>
        <w:tblInd w:w="93" w:type="dxa"/>
        <w:tblLook w:val="04A0" w:firstRow="1" w:lastRow="0" w:firstColumn="1" w:lastColumn="0" w:noHBand="0" w:noVBand="1"/>
      </w:tblPr>
      <w:tblGrid>
        <w:gridCol w:w="510"/>
        <w:gridCol w:w="960"/>
        <w:gridCol w:w="1097"/>
        <w:gridCol w:w="1134"/>
        <w:gridCol w:w="1363"/>
        <w:gridCol w:w="1171"/>
        <w:gridCol w:w="931"/>
      </w:tblGrid>
      <w:tr w:rsidR="004B35F0" w:rsidRPr="004B35F0" w:rsidTr="008E1B7D">
        <w:trPr>
          <w:trHeight w:val="315"/>
          <w:tblHeader/>
          <w:jc w:val="center"/>
        </w:trPr>
        <w:tc>
          <w:tcPr>
            <w:tcW w:w="51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No</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Kode</w:t>
            </w:r>
          </w:p>
        </w:tc>
        <w:tc>
          <w:tcPr>
            <w:tcW w:w="5572" w:type="dxa"/>
            <w:gridSpan w:val="5"/>
            <w:tcBorders>
              <w:top w:val="single" w:sz="4" w:space="0" w:color="auto"/>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Tahun</w:t>
            </w:r>
          </w:p>
        </w:tc>
      </w:tr>
      <w:tr w:rsidR="005E04AC" w:rsidRPr="004B35F0" w:rsidTr="0046521A">
        <w:trPr>
          <w:trHeight w:val="315"/>
          <w:tblHeader/>
          <w:jc w:val="center"/>
        </w:trPr>
        <w:tc>
          <w:tcPr>
            <w:tcW w:w="510" w:type="dxa"/>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1097" w:type="dxa"/>
            <w:tcBorders>
              <w:top w:val="nil"/>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2018</w:t>
            </w:r>
          </w:p>
        </w:tc>
        <w:tc>
          <w:tcPr>
            <w:tcW w:w="1134" w:type="dxa"/>
            <w:tcBorders>
              <w:top w:val="nil"/>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2019</w:t>
            </w:r>
          </w:p>
        </w:tc>
        <w:tc>
          <w:tcPr>
            <w:tcW w:w="1239" w:type="dxa"/>
            <w:tcBorders>
              <w:top w:val="nil"/>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2020</w:t>
            </w:r>
          </w:p>
        </w:tc>
        <w:tc>
          <w:tcPr>
            <w:tcW w:w="1171" w:type="dxa"/>
            <w:tcBorders>
              <w:top w:val="nil"/>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2021</w:t>
            </w:r>
          </w:p>
        </w:tc>
        <w:tc>
          <w:tcPr>
            <w:tcW w:w="931" w:type="dxa"/>
            <w:tcBorders>
              <w:top w:val="nil"/>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2022</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AGRO</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1,54%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0,31%</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-14,75%</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0,85%</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BABP</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0,74%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0,27%</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0,15%</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0,18%</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1,04%</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BACA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0,90%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0,13%</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0,44%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0,22%</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0,18%</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BBCA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3,20%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3,20%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2,70%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2,80%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3,20%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BBNI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2,80%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2,40%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0,50%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2,50%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lastRenderedPageBreak/>
              <w:t>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BBRI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3,68%</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3,50%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1,98%</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2,72%</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3,76%</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BBTN</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1,34%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0,13%</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0,69%</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0,81%</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1,02%</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BBYB</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-2,83%</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0,37%</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-13,71%</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-5,20%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BCIC</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-2,25%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-3,36%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-3,06%</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0,17%</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BDMN</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3,10%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3,00%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0,50%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0,80%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BEKS</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-1,57%</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-2,09%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-3,80%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-2,94%</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-3,31%</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BJBR</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1,71%</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1,68%</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1,66%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1,73%</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1,75%</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BNGA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1,85%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1,99%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1,06%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1,88%</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2,16%</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BNII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1,45%</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1,04%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1,34%</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1,25%</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BNLI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0,80%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1,30%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0,90%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0,70%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1,10%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BSIM</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0,23%</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0,34%</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0,54%</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BSWD</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0,60%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0,49%</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-1,23%</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0,14%</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BTPN</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3,00%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2,30%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2,20%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2,40%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BVIC</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0,33%</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-0,09%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-1,26%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-0,71%</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1,47%</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DNAR</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0,65%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-0,27%</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0,35%</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0,38%</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0,22%</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MAYA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0,73%</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0,78%</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0,12%</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0,07%</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0,04%</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MEGA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2,47%</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2,90%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3,64%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4,22%</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4,00%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NISP</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2,10%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2,22%</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1,47%</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1,55%</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1,86%</w:t>
            </w:r>
          </w:p>
        </w:tc>
      </w:tr>
      <w:tr w:rsidR="005E04AC" w:rsidRPr="004B35F0" w:rsidTr="0046521A">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AVERAGE</w:t>
            </w:r>
          </w:p>
        </w:tc>
        <w:tc>
          <w:tcPr>
            <w:tcW w:w="1097"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1,15%</w:t>
            </w:r>
          </w:p>
        </w:tc>
        <w:tc>
          <w:tcPr>
            <w:tcW w:w="1134"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1,16%</w:t>
            </w: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0,50%</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-0,57%</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0,99%</w:t>
            </w:r>
          </w:p>
        </w:tc>
      </w:tr>
      <w:tr w:rsidR="005E04AC" w:rsidRPr="004B35F0" w:rsidTr="0046521A">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MIN</w:t>
            </w:r>
          </w:p>
        </w:tc>
        <w:tc>
          <w:tcPr>
            <w:tcW w:w="1097"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-2,83%</w:t>
            </w:r>
          </w:p>
        </w:tc>
        <w:tc>
          <w:tcPr>
            <w:tcW w:w="1134"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-2,09%</w:t>
            </w: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-3,80%</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-14,75%</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-5,20%</w:t>
            </w:r>
          </w:p>
        </w:tc>
      </w:tr>
      <w:tr w:rsidR="005E04AC" w:rsidRPr="004B35F0" w:rsidTr="0046521A">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MAX</w:t>
            </w:r>
          </w:p>
        </w:tc>
        <w:tc>
          <w:tcPr>
            <w:tcW w:w="1097"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3,68%</w:t>
            </w:r>
          </w:p>
        </w:tc>
        <w:tc>
          <w:tcPr>
            <w:tcW w:w="1134"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3,50%</w:t>
            </w: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3,64%</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4,22%</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4,00%</w:t>
            </w:r>
          </w:p>
        </w:tc>
      </w:tr>
      <w:tr w:rsidR="005E04AC" w:rsidRPr="004B35F0" w:rsidTr="0046521A">
        <w:trPr>
          <w:trHeight w:val="300"/>
          <w:jc w:val="center"/>
        </w:trPr>
        <w:tc>
          <w:tcPr>
            <w:tcW w:w="3701" w:type="dxa"/>
            <w:gridSpan w:val="4"/>
            <w:vMerge w:val="restart"/>
            <w:tcBorders>
              <w:top w:val="single" w:sz="4" w:space="0" w:color="auto"/>
              <w:left w:val="single" w:sz="4" w:space="0" w:color="auto"/>
              <w:bottom w:val="single" w:sz="4" w:space="0" w:color="auto"/>
              <w:right w:val="single" w:sz="4" w:space="0" w:color="auto"/>
            </w:tcBorders>
            <w:shd w:val="clear" w:color="000000" w:fill="C4D79B"/>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Nilai rata - rata per 5 tahun</w:t>
            </w:r>
          </w:p>
        </w:tc>
        <w:tc>
          <w:tcPr>
            <w:tcW w:w="1239"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AVERAGE</w:t>
            </w:r>
          </w:p>
        </w:tc>
        <w:tc>
          <w:tcPr>
            <w:tcW w:w="1171"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MIN</w:t>
            </w:r>
          </w:p>
        </w:tc>
        <w:tc>
          <w:tcPr>
            <w:tcW w:w="931"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MAX</w:t>
            </w:r>
          </w:p>
        </w:tc>
      </w:tr>
      <w:tr w:rsidR="0046521A" w:rsidRPr="004B35F0" w:rsidTr="0046521A">
        <w:trPr>
          <w:trHeight w:val="315"/>
          <w:jc w:val="center"/>
        </w:trPr>
        <w:tc>
          <w:tcPr>
            <w:tcW w:w="3701" w:type="dxa"/>
            <w:gridSpan w:val="4"/>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0,65%</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-14,75%</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4,22%</w:t>
            </w:r>
          </w:p>
        </w:tc>
      </w:tr>
    </w:tbl>
    <w:p w:rsidR="006F4D9B" w:rsidRDefault="006F4D9B" w:rsidP="005E04B6">
      <w:pPr>
        <w:pStyle w:val="NormalWeb"/>
        <w:shd w:val="clear" w:color="auto" w:fill="FFFFFF"/>
        <w:spacing w:line="480" w:lineRule="auto"/>
        <w:ind w:firstLine="426"/>
        <w:jc w:val="both"/>
        <w:rPr>
          <w:rFonts w:eastAsiaTheme="minorHAnsi"/>
          <w:szCs w:val="22"/>
          <w:lang w:eastAsia="en-US"/>
        </w:rPr>
      </w:pPr>
      <w:r w:rsidRPr="006F4D9B">
        <w:rPr>
          <w:rFonts w:eastAsiaTheme="minorHAnsi"/>
          <w:szCs w:val="22"/>
          <w:lang w:eastAsia="en-US"/>
        </w:rPr>
        <w:t>Sumber : Data diolah, 2023</w:t>
      </w:r>
    </w:p>
    <w:p w:rsidR="0080362C" w:rsidRDefault="0080362C" w:rsidP="005E04B6">
      <w:pPr>
        <w:pStyle w:val="NormalWeb"/>
        <w:shd w:val="clear" w:color="auto" w:fill="FFFFFF"/>
        <w:spacing w:line="480" w:lineRule="auto"/>
        <w:ind w:firstLine="426"/>
        <w:jc w:val="both"/>
        <w:rPr>
          <w:rFonts w:eastAsiaTheme="minorHAnsi"/>
          <w:szCs w:val="22"/>
          <w:lang w:eastAsia="en-US"/>
        </w:rPr>
      </w:pPr>
    </w:p>
    <w:p w:rsidR="0080362C" w:rsidRDefault="0080362C" w:rsidP="005E04B6">
      <w:pPr>
        <w:pStyle w:val="NormalWeb"/>
        <w:shd w:val="clear" w:color="auto" w:fill="FFFFFF"/>
        <w:spacing w:line="480" w:lineRule="auto"/>
        <w:ind w:firstLine="426"/>
        <w:jc w:val="both"/>
        <w:rPr>
          <w:rFonts w:eastAsiaTheme="minorHAnsi"/>
          <w:szCs w:val="22"/>
          <w:lang w:eastAsia="en-US"/>
        </w:rPr>
      </w:pPr>
    </w:p>
    <w:p w:rsidR="0080362C" w:rsidRDefault="0080362C" w:rsidP="005E04B6">
      <w:pPr>
        <w:pStyle w:val="NormalWeb"/>
        <w:shd w:val="clear" w:color="auto" w:fill="FFFFFF"/>
        <w:spacing w:line="480" w:lineRule="auto"/>
        <w:ind w:firstLine="426"/>
        <w:jc w:val="both"/>
        <w:rPr>
          <w:rFonts w:eastAsiaTheme="minorHAnsi"/>
          <w:szCs w:val="22"/>
          <w:lang w:eastAsia="en-US"/>
        </w:rPr>
      </w:pPr>
    </w:p>
    <w:p w:rsidR="0080362C" w:rsidRDefault="0080362C" w:rsidP="005E04B6">
      <w:pPr>
        <w:pStyle w:val="NormalWeb"/>
        <w:shd w:val="clear" w:color="auto" w:fill="FFFFFF"/>
        <w:spacing w:line="480" w:lineRule="auto"/>
        <w:ind w:firstLine="426"/>
        <w:jc w:val="both"/>
        <w:rPr>
          <w:rFonts w:eastAsiaTheme="minorHAnsi"/>
          <w:szCs w:val="22"/>
          <w:lang w:eastAsia="en-US"/>
        </w:rPr>
      </w:pPr>
    </w:p>
    <w:p w:rsidR="0080362C" w:rsidRPr="006F4D9B" w:rsidRDefault="0080362C" w:rsidP="005E04B6">
      <w:pPr>
        <w:pStyle w:val="NormalWeb"/>
        <w:shd w:val="clear" w:color="auto" w:fill="FFFFFF"/>
        <w:spacing w:line="480" w:lineRule="auto"/>
        <w:ind w:firstLine="426"/>
        <w:jc w:val="both"/>
        <w:rPr>
          <w:rFonts w:eastAsiaTheme="minorHAnsi"/>
          <w:szCs w:val="22"/>
          <w:lang w:eastAsia="en-US"/>
        </w:rPr>
      </w:pPr>
    </w:p>
    <w:p w:rsidR="004D71AF" w:rsidRDefault="00DC07D2" w:rsidP="002724AB">
      <w:pPr>
        <w:pStyle w:val="NormalWeb"/>
        <w:shd w:val="clear" w:color="auto" w:fill="FFFFFF"/>
        <w:spacing w:line="480" w:lineRule="auto"/>
        <w:jc w:val="both"/>
        <w:rPr>
          <w:rFonts w:eastAsiaTheme="minorHAnsi"/>
          <w:b/>
          <w:szCs w:val="22"/>
          <w:lang w:eastAsia="en-US"/>
        </w:rPr>
      </w:pPr>
      <w:r>
        <w:rPr>
          <w:rFonts w:eastAsiaTheme="minorHAnsi"/>
          <w:b/>
          <w:szCs w:val="22"/>
          <w:lang w:eastAsia="en-US"/>
        </w:rPr>
        <w:lastRenderedPageBreak/>
        <w:t>4.2.1</w:t>
      </w:r>
      <w:r>
        <w:rPr>
          <w:rFonts w:eastAsiaTheme="minorHAnsi"/>
          <w:b/>
          <w:szCs w:val="22"/>
          <w:lang w:eastAsia="en-US"/>
        </w:rPr>
        <w:tab/>
      </w:r>
      <w:r w:rsidR="00F16656">
        <w:rPr>
          <w:rFonts w:eastAsiaTheme="minorHAnsi"/>
          <w:b/>
          <w:szCs w:val="22"/>
          <w:lang w:eastAsia="en-US"/>
        </w:rPr>
        <w:t xml:space="preserve">Hasil </w:t>
      </w:r>
      <w:r w:rsidR="00077E34" w:rsidRPr="003523C6">
        <w:rPr>
          <w:rFonts w:eastAsiaTheme="minorHAnsi"/>
          <w:b/>
          <w:szCs w:val="22"/>
          <w:lang w:eastAsia="en-US"/>
        </w:rPr>
        <w:t>Uji Analisis Deskriptif</w:t>
      </w:r>
    </w:p>
    <w:p w:rsidR="003A2C2B" w:rsidRDefault="00DC07D2" w:rsidP="003A2C2B">
      <w:pPr>
        <w:spacing w:line="480" w:lineRule="auto"/>
        <w:ind w:firstLine="720"/>
        <w:jc w:val="both"/>
        <w:rPr>
          <w:rFonts w:ascii="Times New Roman" w:hAnsi="Times New Roman" w:cs="Times New Roman"/>
          <w:i/>
          <w:sz w:val="24"/>
          <w:szCs w:val="24"/>
        </w:rPr>
      </w:pPr>
      <w:r w:rsidRPr="003A2C2B">
        <w:rPr>
          <w:rFonts w:ascii="Times New Roman" w:hAnsi="Times New Roman" w:cs="Times New Roman"/>
          <w:sz w:val="24"/>
          <w:szCs w:val="24"/>
        </w:rPr>
        <w:t>Pada penelitian ini untuk menggambarkan dari analisis data masing- masing variabel, penulis menggunakan analisis deskriptif dengan pendekatan tabel, grafik maupun gambar. Analisis deskriptif digunakan untuk mengetahui gambaran suatu data</w:t>
      </w:r>
      <w:r w:rsidR="00A66A6C" w:rsidRPr="003A2C2B">
        <w:rPr>
          <w:rFonts w:ascii="Times New Roman" w:hAnsi="Times New Roman" w:cs="Times New Roman"/>
          <w:sz w:val="24"/>
          <w:szCs w:val="24"/>
        </w:rPr>
        <w:t xml:space="preserve"> yang dilihat dari nilai minimun, nilai maksimum, rata – rata dan standar deviasi berdasarkan variabel </w:t>
      </w:r>
      <w:r w:rsidR="003A2C2B" w:rsidRPr="003A2C2B">
        <w:rPr>
          <w:rFonts w:ascii="Times New Roman" w:hAnsi="Times New Roman" w:cs="Times New Roman"/>
          <w:i/>
          <w:sz w:val="24"/>
          <w:szCs w:val="24"/>
        </w:rPr>
        <w:t>Loan to Deposit Ratio (LDR)</w:t>
      </w:r>
      <w:r w:rsidR="003A2C2B" w:rsidRPr="003A2C2B">
        <w:rPr>
          <w:rFonts w:ascii="Times New Roman" w:hAnsi="Times New Roman" w:cs="Times New Roman"/>
          <w:sz w:val="24"/>
          <w:szCs w:val="24"/>
        </w:rPr>
        <w:t xml:space="preserve">, </w:t>
      </w:r>
      <w:r w:rsidR="003A2C2B" w:rsidRPr="003A2C2B">
        <w:rPr>
          <w:rFonts w:ascii="Times New Roman" w:hAnsi="Times New Roman" w:cs="Times New Roman"/>
          <w:i/>
          <w:sz w:val="24"/>
          <w:szCs w:val="24"/>
        </w:rPr>
        <w:t>Net Interest Margin (NIM), Return On Asset</w:t>
      </w:r>
      <w:r w:rsidR="003A2C2B" w:rsidRPr="003A2C2B">
        <w:rPr>
          <w:rFonts w:ascii="Times New Roman" w:hAnsi="Times New Roman" w:cs="Times New Roman"/>
          <w:sz w:val="24"/>
          <w:szCs w:val="24"/>
        </w:rPr>
        <w:t xml:space="preserve"> (ROA) pada perusahaan perbankan yang terdaftar di Bursa Efek Indonesia (BEI) periode 2018 – 2022.</w:t>
      </w:r>
      <w:r w:rsidR="00CA2499">
        <w:rPr>
          <w:rFonts w:ascii="Times New Roman" w:hAnsi="Times New Roman" w:cs="Times New Roman"/>
          <w:sz w:val="24"/>
          <w:szCs w:val="24"/>
        </w:rPr>
        <w:t xml:space="preserve"> Data yang digunakan merupakan gabungan antara data </w:t>
      </w:r>
      <w:r w:rsidR="00CA2499" w:rsidRPr="00CA2499">
        <w:rPr>
          <w:rFonts w:ascii="Times New Roman" w:hAnsi="Times New Roman" w:cs="Times New Roman"/>
          <w:i/>
          <w:sz w:val="24"/>
          <w:szCs w:val="24"/>
        </w:rPr>
        <w:t>cross section</w:t>
      </w:r>
      <w:r w:rsidR="00CA2499">
        <w:rPr>
          <w:rFonts w:ascii="Times New Roman" w:hAnsi="Times New Roman" w:cs="Times New Roman"/>
          <w:sz w:val="24"/>
          <w:szCs w:val="24"/>
        </w:rPr>
        <w:t xml:space="preserve"> dan </w:t>
      </w:r>
      <w:r w:rsidR="00CA2499" w:rsidRPr="00CA2499">
        <w:rPr>
          <w:rFonts w:ascii="Times New Roman" w:hAnsi="Times New Roman" w:cs="Times New Roman"/>
          <w:i/>
          <w:sz w:val="24"/>
          <w:szCs w:val="24"/>
        </w:rPr>
        <w:t>time series.</w:t>
      </w:r>
    </w:p>
    <w:p w:rsidR="00F16656" w:rsidRPr="008B26F4" w:rsidRDefault="009037E2" w:rsidP="008B26F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cross section yang digunakan dalam penelitian ini terdiri dari 23 perusahaan perbankan </w:t>
      </w:r>
      <w:r w:rsidR="008521D0">
        <w:rPr>
          <w:rFonts w:ascii="Times New Roman" w:hAnsi="Times New Roman" w:cs="Times New Roman"/>
          <w:sz w:val="24"/>
          <w:szCs w:val="24"/>
        </w:rPr>
        <w:t xml:space="preserve">yang terdaftar di Bursa Efek Indonesia (BEI) dan data perusahaan tersebut sudah memenuhi kriteria dalam sample penelitian. </w:t>
      </w:r>
      <w:r w:rsidR="004E48A8">
        <w:rPr>
          <w:rFonts w:ascii="Times New Roman" w:hAnsi="Times New Roman" w:cs="Times New Roman"/>
          <w:sz w:val="24"/>
          <w:szCs w:val="24"/>
        </w:rPr>
        <w:t xml:space="preserve">Sedangkan data time series dalam penelitian ini terdiri dari </w:t>
      </w:r>
      <w:r w:rsidR="004E48A8" w:rsidRPr="003A2C2B">
        <w:rPr>
          <w:rFonts w:ascii="Times New Roman" w:hAnsi="Times New Roman" w:cs="Times New Roman"/>
          <w:i/>
          <w:sz w:val="24"/>
          <w:szCs w:val="24"/>
        </w:rPr>
        <w:t>Loan to Deposit Ratio (LDR)</w:t>
      </w:r>
      <w:r w:rsidR="004E48A8" w:rsidRPr="003A2C2B">
        <w:rPr>
          <w:rFonts w:ascii="Times New Roman" w:hAnsi="Times New Roman" w:cs="Times New Roman"/>
          <w:sz w:val="24"/>
          <w:szCs w:val="24"/>
        </w:rPr>
        <w:t xml:space="preserve">, </w:t>
      </w:r>
      <w:r w:rsidR="004E48A8" w:rsidRPr="003A2C2B">
        <w:rPr>
          <w:rFonts w:ascii="Times New Roman" w:hAnsi="Times New Roman" w:cs="Times New Roman"/>
          <w:i/>
          <w:sz w:val="24"/>
          <w:szCs w:val="24"/>
        </w:rPr>
        <w:t>Net Interest Margin (NIM), Return On Asset</w:t>
      </w:r>
      <w:r w:rsidR="004E48A8" w:rsidRPr="003A2C2B">
        <w:rPr>
          <w:rFonts w:ascii="Times New Roman" w:hAnsi="Times New Roman" w:cs="Times New Roman"/>
          <w:sz w:val="24"/>
          <w:szCs w:val="24"/>
        </w:rPr>
        <w:t xml:space="preserve"> (ROA)</w:t>
      </w:r>
      <w:r w:rsidR="004E48A8">
        <w:rPr>
          <w:rFonts w:ascii="Times New Roman" w:hAnsi="Times New Roman" w:cs="Times New Roman"/>
          <w:sz w:val="24"/>
          <w:szCs w:val="24"/>
        </w:rPr>
        <w:t xml:space="preserve"> dari tahun 2018 – 2022. Penelitian ini menggunakan Program olah data </w:t>
      </w:r>
      <w:r w:rsidR="008B26F4">
        <w:rPr>
          <w:rFonts w:ascii="Times New Roman" w:hAnsi="Times New Roman" w:cs="Times New Roman"/>
          <w:sz w:val="24"/>
          <w:szCs w:val="24"/>
        </w:rPr>
        <w:t>STATA. Untuk hasil penelitian statistik deskriptifnya secara umum dapat dilihat pada tabel dibawah ini :</w:t>
      </w:r>
    </w:p>
    <w:p w:rsidR="003C7516" w:rsidRPr="0080362C" w:rsidRDefault="00756605" w:rsidP="0080362C">
      <w:pPr>
        <w:pStyle w:val="Caption"/>
        <w:jc w:val="center"/>
        <w:rPr>
          <w:rFonts w:ascii="Times New Roman" w:hAnsi="Times New Roman" w:cs="Times New Roman"/>
          <w:color w:val="auto"/>
          <w:sz w:val="24"/>
        </w:rPr>
      </w:pPr>
      <w:r w:rsidRPr="0080362C">
        <w:rPr>
          <w:rFonts w:ascii="Times New Roman" w:hAnsi="Times New Roman" w:cs="Times New Roman"/>
          <w:color w:val="auto"/>
          <w:sz w:val="24"/>
        </w:rPr>
        <w:t xml:space="preserve">Tabel 4. </w:t>
      </w:r>
      <w:r w:rsidR="00B822B9" w:rsidRPr="0080362C">
        <w:rPr>
          <w:rFonts w:ascii="Times New Roman" w:hAnsi="Times New Roman" w:cs="Times New Roman"/>
          <w:color w:val="auto"/>
          <w:sz w:val="24"/>
        </w:rPr>
        <w:fldChar w:fldCharType="begin"/>
      </w:r>
      <w:r w:rsidR="00B822B9" w:rsidRPr="0080362C">
        <w:rPr>
          <w:rFonts w:ascii="Times New Roman" w:hAnsi="Times New Roman" w:cs="Times New Roman"/>
          <w:color w:val="auto"/>
          <w:sz w:val="24"/>
        </w:rPr>
        <w:instrText xml:space="preserve"> SEQ Tabel_4. \* ARABIC </w:instrText>
      </w:r>
      <w:r w:rsidR="00B822B9" w:rsidRPr="0080362C">
        <w:rPr>
          <w:rFonts w:ascii="Times New Roman" w:hAnsi="Times New Roman" w:cs="Times New Roman"/>
          <w:color w:val="auto"/>
          <w:sz w:val="24"/>
        </w:rPr>
        <w:fldChar w:fldCharType="separate"/>
      </w:r>
      <w:r w:rsidR="009D44B4" w:rsidRPr="0080362C">
        <w:rPr>
          <w:rFonts w:ascii="Times New Roman" w:hAnsi="Times New Roman" w:cs="Times New Roman"/>
          <w:noProof/>
          <w:color w:val="auto"/>
          <w:sz w:val="24"/>
        </w:rPr>
        <w:t>4</w:t>
      </w:r>
      <w:r w:rsidR="00B822B9" w:rsidRPr="0080362C">
        <w:rPr>
          <w:rFonts w:ascii="Times New Roman" w:hAnsi="Times New Roman" w:cs="Times New Roman"/>
          <w:noProof/>
          <w:color w:val="auto"/>
          <w:sz w:val="24"/>
        </w:rPr>
        <w:fldChar w:fldCharType="end"/>
      </w:r>
      <w:r w:rsidRPr="0080362C">
        <w:rPr>
          <w:rFonts w:ascii="Times New Roman" w:hAnsi="Times New Roman" w:cs="Times New Roman"/>
          <w:color w:val="auto"/>
          <w:sz w:val="24"/>
        </w:rPr>
        <w:t xml:space="preserve"> Uji Deskriptif</w:t>
      </w:r>
    </w:p>
    <w:p w:rsidR="005D2800" w:rsidRDefault="00B33CBC" w:rsidP="008B26F4">
      <w:pPr>
        <w:jc w:val="center"/>
      </w:pPr>
      <w:r w:rsidRPr="00EE0190">
        <w:rPr>
          <w:noProof/>
          <w:lang w:eastAsia="id-ID"/>
        </w:rPr>
        <w:drawing>
          <wp:inline distT="0" distB="0" distL="0" distR="0" wp14:anchorId="3329DDEC" wp14:editId="683367D8">
            <wp:extent cx="4162425" cy="1190625"/>
            <wp:effectExtent l="19050" t="19050" r="28575" b="28575"/>
            <wp:docPr id="1881222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7">
                      <a:extLst>
                        <a:ext uri="{28A0092B-C50C-407E-A947-70E740481C1C}">
                          <a14:useLocalDpi xmlns:a14="http://schemas.microsoft.com/office/drawing/2010/main" val="0"/>
                        </a:ext>
                      </a:extLst>
                    </a:blip>
                    <a:srcRect r="34151"/>
                    <a:stretch/>
                  </pic:blipFill>
                  <pic:spPr bwMode="auto">
                    <a:xfrm>
                      <a:off x="0" y="0"/>
                      <a:ext cx="4162425" cy="119062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8B26F4" w:rsidRDefault="008B26F4" w:rsidP="008B26F4">
      <w:pPr>
        <w:ind w:firstLine="720"/>
        <w:rPr>
          <w:rFonts w:ascii="Times New Roman" w:hAnsi="Times New Roman" w:cs="Times New Roman"/>
          <w:sz w:val="24"/>
          <w:szCs w:val="24"/>
        </w:rPr>
      </w:pPr>
      <w:r w:rsidRPr="008B26F4">
        <w:rPr>
          <w:rFonts w:ascii="Times New Roman" w:hAnsi="Times New Roman" w:cs="Times New Roman"/>
          <w:sz w:val="24"/>
          <w:szCs w:val="24"/>
        </w:rPr>
        <w:t>Sumber : Hasil olah STATA, 2023</w:t>
      </w:r>
    </w:p>
    <w:p w:rsidR="001843EC" w:rsidRPr="008B26F4" w:rsidRDefault="001843EC" w:rsidP="001843EC">
      <w:pPr>
        <w:spacing w:line="480" w:lineRule="auto"/>
        <w:ind w:firstLine="720"/>
        <w:jc w:val="both"/>
        <w:rPr>
          <w:rFonts w:ascii="Times New Roman" w:hAnsi="Times New Roman" w:cs="Times New Roman"/>
          <w:sz w:val="24"/>
          <w:szCs w:val="24"/>
        </w:rPr>
      </w:pPr>
      <w:r w:rsidRPr="001843EC">
        <w:rPr>
          <w:rFonts w:ascii="Times New Roman" w:hAnsi="Times New Roman" w:cs="Times New Roman"/>
          <w:sz w:val="24"/>
          <w:szCs w:val="24"/>
        </w:rPr>
        <w:lastRenderedPageBreak/>
        <w:t>Berdasarkan tabel 4.4 diatas, diketahui jumlah Observasi (Observasi) yang digunakan dalam penelitian ini adalah sebesar 155. Nilai</w:t>
      </w:r>
      <w:r>
        <w:rPr>
          <w:rFonts w:ascii="Times New Roman" w:hAnsi="Times New Roman" w:cs="Times New Roman"/>
          <w:sz w:val="24"/>
          <w:szCs w:val="24"/>
        </w:rPr>
        <w:t xml:space="preserve"> </w:t>
      </w:r>
      <w:r w:rsidRPr="003A2C2B">
        <w:rPr>
          <w:rFonts w:ascii="Times New Roman" w:hAnsi="Times New Roman" w:cs="Times New Roman"/>
          <w:i/>
          <w:sz w:val="24"/>
          <w:szCs w:val="24"/>
        </w:rPr>
        <w:t>Return On Asset</w:t>
      </w:r>
      <w:r w:rsidRPr="003A2C2B">
        <w:rPr>
          <w:rFonts w:ascii="Times New Roman" w:hAnsi="Times New Roman" w:cs="Times New Roman"/>
          <w:sz w:val="24"/>
          <w:szCs w:val="24"/>
        </w:rPr>
        <w:t xml:space="preserve"> (ROA)</w:t>
      </w:r>
      <w:r>
        <w:rPr>
          <w:rFonts w:ascii="Times New Roman" w:hAnsi="Times New Roman" w:cs="Times New Roman"/>
          <w:sz w:val="24"/>
          <w:szCs w:val="24"/>
        </w:rPr>
        <w:t xml:space="preserve"> </w:t>
      </w:r>
      <w:r w:rsidRPr="001843EC">
        <w:rPr>
          <w:rFonts w:ascii="Times New Roman" w:hAnsi="Times New Roman" w:cs="Times New Roman"/>
          <w:sz w:val="24"/>
          <w:szCs w:val="24"/>
        </w:rPr>
        <w:t xml:space="preserve"> maksimum</w:t>
      </w:r>
      <w:r w:rsidR="002A6342">
        <w:rPr>
          <w:rFonts w:ascii="Times New Roman" w:hAnsi="Times New Roman" w:cs="Times New Roman"/>
          <w:sz w:val="24"/>
          <w:szCs w:val="24"/>
        </w:rPr>
        <w:t xml:space="preserve"> a</w:t>
      </w:r>
      <w:r w:rsidR="00A83CE7">
        <w:rPr>
          <w:rFonts w:ascii="Times New Roman" w:hAnsi="Times New Roman" w:cs="Times New Roman"/>
          <w:sz w:val="24"/>
          <w:szCs w:val="24"/>
        </w:rPr>
        <w:t>tau tertinggi adalah (0.</w:t>
      </w:r>
      <w:r w:rsidR="002A6342">
        <w:rPr>
          <w:rFonts w:ascii="Times New Roman" w:hAnsi="Times New Roman" w:cs="Times New Roman"/>
          <w:sz w:val="24"/>
          <w:szCs w:val="24"/>
        </w:rPr>
        <w:t>0422</w:t>
      </w:r>
      <w:r w:rsidRPr="001843EC">
        <w:rPr>
          <w:rFonts w:ascii="Times New Roman" w:hAnsi="Times New Roman" w:cs="Times New Roman"/>
          <w:sz w:val="24"/>
          <w:szCs w:val="24"/>
        </w:rPr>
        <w:t xml:space="preserve">), sedangkan nilai </w:t>
      </w:r>
      <w:r w:rsidR="002A6342">
        <w:rPr>
          <w:rFonts w:ascii="Times New Roman" w:hAnsi="Times New Roman" w:cs="Times New Roman"/>
          <w:sz w:val="24"/>
          <w:szCs w:val="24"/>
        </w:rPr>
        <w:t>ROA minimum a</w:t>
      </w:r>
      <w:r w:rsidR="00A83CE7">
        <w:rPr>
          <w:rFonts w:ascii="Times New Roman" w:hAnsi="Times New Roman" w:cs="Times New Roman"/>
          <w:sz w:val="24"/>
          <w:szCs w:val="24"/>
        </w:rPr>
        <w:t>dalah (-0.</w:t>
      </w:r>
      <w:r w:rsidR="002A6342">
        <w:rPr>
          <w:rFonts w:ascii="Times New Roman" w:hAnsi="Times New Roman" w:cs="Times New Roman"/>
          <w:sz w:val="24"/>
          <w:szCs w:val="24"/>
        </w:rPr>
        <w:t>1475</w:t>
      </w:r>
      <w:r w:rsidRPr="001843EC">
        <w:rPr>
          <w:rFonts w:ascii="Times New Roman" w:hAnsi="Times New Roman" w:cs="Times New Roman"/>
          <w:sz w:val="24"/>
          <w:szCs w:val="24"/>
        </w:rPr>
        <w:t>) dengan nilai rata-</w:t>
      </w:r>
      <w:r w:rsidR="002A6342">
        <w:rPr>
          <w:rFonts w:ascii="Times New Roman" w:hAnsi="Times New Roman" w:cs="Times New Roman"/>
          <w:sz w:val="24"/>
          <w:szCs w:val="24"/>
        </w:rPr>
        <w:t>rata (Mean) sebesar (</w:t>
      </w:r>
      <w:r w:rsidR="00A83CE7">
        <w:rPr>
          <w:rFonts w:ascii="Times New Roman" w:hAnsi="Times New Roman" w:cs="Times New Roman"/>
          <w:sz w:val="24"/>
          <w:szCs w:val="24"/>
        </w:rPr>
        <w:t>0.</w:t>
      </w:r>
      <w:r w:rsidR="00A00C8A">
        <w:rPr>
          <w:rFonts w:ascii="Times New Roman" w:hAnsi="Times New Roman" w:cs="Times New Roman"/>
          <w:sz w:val="24"/>
          <w:szCs w:val="24"/>
        </w:rPr>
        <w:t>0064739</w:t>
      </w:r>
      <w:r w:rsidRPr="001843EC">
        <w:rPr>
          <w:rFonts w:ascii="Times New Roman" w:hAnsi="Times New Roman" w:cs="Times New Roman"/>
          <w:sz w:val="24"/>
          <w:szCs w:val="24"/>
        </w:rPr>
        <w:t>).</w:t>
      </w:r>
      <w:r w:rsidR="00A00C8A">
        <w:rPr>
          <w:rFonts w:ascii="Times New Roman" w:hAnsi="Times New Roman" w:cs="Times New Roman"/>
          <w:sz w:val="24"/>
          <w:szCs w:val="24"/>
        </w:rPr>
        <w:t xml:space="preserve"> </w:t>
      </w:r>
      <w:r w:rsidR="00A00C8A" w:rsidRPr="003A2C2B">
        <w:rPr>
          <w:rFonts w:ascii="Times New Roman" w:hAnsi="Times New Roman" w:cs="Times New Roman"/>
          <w:i/>
          <w:sz w:val="24"/>
          <w:szCs w:val="24"/>
        </w:rPr>
        <w:t>Loan to Deposit Ratio (LDR)</w:t>
      </w:r>
      <w:r w:rsidRPr="001843EC">
        <w:rPr>
          <w:rFonts w:ascii="Times New Roman" w:hAnsi="Times New Roman" w:cs="Times New Roman"/>
          <w:sz w:val="24"/>
          <w:szCs w:val="24"/>
        </w:rPr>
        <w:t xml:space="preserve"> maksimu</w:t>
      </w:r>
      <w:r w:rsidR="00A00C8A">
        <w:rPr>
          <w:rFonts w:ascii="Times New Roman" w:hAnsi="Times New Roman" w:cs="Times New Roman"/>
          <w:sz w:val="24"/>
          <w:szCs w:val="24"/>
        </w:rPr>
        <w:t>m atau tertinggi adalah (2.2401</w:t>
      </w:r>
      <w:r w:rsidR="00802849">
        <w:rPr>
          <w:rFonts w:ascii="Times New Roman" w:hAnsi="Times New Roman" w:cs="Times New Roman"/>
          <w:sz w:val="24"/>
          <w:szCs w:val="24"/>
        </w:rPr>
        <w:t>), sedangkan LDR minimum adala</w:t>
      </w:r>
      <w:r w:rsidR="00A83CE7">
        <w:rPr>
          <w:rFonts w:ascii="Times New Roman" w:hAnsi="Times New Roman" w:cs="Times New Roman"/>
          <w:sz w:val="24"/>
          <w:szCs w:val="24"/>
        </w:rPr>
        <w:t>h (0.</w:t>
      </w:r>
      <w:r w:rsidR="00802849">
        <w:rPr>
          <w:rFonts w:ascii="Times New Roman" w:hAnsi="Times New Roman" w:cs="Times New Roman"/>
          <w:sz w:val="24"/>
          <w:szCs w:val="24"/>
        </w:rPr>
        <w:t>1235</w:t>
      </w:r>
      <w:r w:rsidRPr="001843EC">
        <w:rPr>
          <w:rFonts w:ascii="Times New Roman" w:hAnsi="Times New Roman" w:cs="Times New Roman"/>
          <w:sz w:val="24"/>
          <w:szCs w:val="24"/>
        </w:rPr>
        <w:t>) dengan nilai rata</w:t>
      </w:r>
      <w:r w:rsidR="00EA066D">
        <w:rPr>
          <w:rFonts w:ascii="Times New Roman" w:hAnsi="Times New Roman" w:cs="Times New Roman"/>
          <w:sz w:val="24"/>
          <w:szCs w:val="24"/>
        </w:rPr>
        <w:t>-rata (Mean) sebesar (0,8611757</w:t>
      </w:r>
      <w:r w:rsidRPr="001843EC">
        <w:rPr>
          <w:rFonts w:ascii="Times New Roman" w:hAnsi="Times New Roman" w:cs="Times New Roman"/>
          <w:sz w:val="24"/>
          <w:szCs w:val="24"/>
        </w:rPr>
        <w:t xml:space="preserve">). Kemudian nilai </w:t>
      </w:r>
      <w:r w:rsidR="002D19F2" w:rsidRPr="003A2C2B">
        <w:rPr>
          <w:rFonts w:ascii="Times New Roman" w:hAnsi="Times New Roman" w:cs="Times New Roman"/>
          <w:i/>
          <w:sz w:val="24"/>
          <w:szCs w:val="24"/>
        </w:rPr>
        <w:t>Net Interest Margin (NIM)</w:t>
      </w:r>
      <w:r w:rsidR="002D19F2">
        <w:rPr>
          <w:rFonts w:ascii="Times New Roman" w:hAnsi="Times New Roman" w:cs="Times New Roman"/>
          <w:i/>
          <w:sz w:val="24"/>
          <w:szCs w:val="24"/>
        </w:rPr>
        <w:t xml:space="preserve"> </w:t>
      </w:r>
      <w:r w:rsidRPr="001843EC">
        <w:rPr>
          <w:rFonts w:ascii="Times New Roman" w:hAnsi="Times New Roman" w:cs="Times New Roman"/>
          <w:sz w:val="24"/>
          <w:szCs w:val="24"/>
        </w:rPr>
        <w:t>maksi</w:t>
      </w:r>
      <w:r w:rsidR="002D19F2">
        <w:rPr>
          <w:rFonts w:ascii="Times New Roman" w:hAnsi="Times New Roman" w:cs="Times New Roman"/>
          <w:sz w:val="24"/>
          <w:szCs w:val="24"/>
        </w:rPr>
        <w:t>m</w:t>
      </w:r>
      <w:r w:rsidR="00A83CE7">
        <w:rPr>
          <w:rFonts w:ascii="Times New Roman" w:hAnsi="Times New Roman" w:cs="Times New Roman"/>
          <w:sz w:val="24"/>
          <w:szCs w:val="24"/>
        </w:rPr>
        <w:t>um atau tertinggi adalah (0.</w:t>
      </w:r>
      <w:r w:rsidR="002D19F2">
        <w:rPr>
          <w:rFonts w:ascii="Times New Roman" w:hAnsi="Times New Roman" w:cs="Times New Roman"/>
          <w:sz w:val="24"/>
          <w:szCs w:val="24"/>
        </w:rPr>
        <w:t>1383</w:t>
      </w:r>
      <w:r w:rsidRPr="001843EC">
        <w:rPr>
          <w:rFonts w:ascii="Times New Roman" w:hAnsi="Times New Roman" w:cs="Times New Roman"/>
          <w:sz w:val="24"/>
          <w:szCs w:val="24"/>
        </w:rPr>
        <w:t xml:space="preserve">), sedangkan nilai </w:t>
      </w:r>
      <w:r w:rsidR="002D19F2">
        <w:rPr>
          <w:rFonts w:ascii="Times New Roman" w:hAnsi="Times New Roman" w:cs="Times New Roman"/>
          <w:sz w:val="24"/>
          <w:szCs w:val="24"/>
        </w:rPr>
        <w:t>NIM mini</w:t>
      </w:r>
      <w:r w:rsidR="00A83CE7">
        <w:rPr>
          <w:rFonts w:ascii="Times New Roman" w:hAnsi="Times New Roman" w:cs="Times New Roman"/>
          <w:sz w:val="24"/>
          <w:szCs w:val="24"/>
        </w:rPr>
        <w:t>mum adalah (-0.</w:t>
      </w:r>
      <w:r w:rsidR="002D19F2">
        <w:rPr>
          <w:rFonts w:ascii="Times New Roman" w:hAnsi="Times New Roman" w:cs="Times New Roman"/>
          <w:sz w:val="24"/>
          <w:szCs w:val="24"/>
        </w:rPr>
        <w:t>0352</w:t>
      </w:r>
      <w:r w:rsidRPr="001843EC">
        <w:rPr>
          <w:rFonts w:ascii="Times New Roman" w:hAnsi="Times New Roman" w:cs="Times New Roman"/>
          <w:sz w:val="24"/>
          <w:szCs w:val="24"/>
        </w:rPr>
        <w:t>) dengan nilai rat</w:t>
      </w:r>
      <w:r w:rsidR="002D19F2">
        <w:rPr>
          <w:rFonts w:ascii="Times New Roman" w:hAnsi="Times New Roman" w:cs="Times New Roman"/>
          <w:sz w:val="24"/>
          <w:szCs w:val="24"/>
        </w:rPr>
        <w:t>a-rata (Mean) sebesar (0</w:t>
      </w:r>
      <w:r w:rsidR="00A83CE7">
        <w:rPr>
          <w:rFonts w:ascii="Times New Roman" w:hAnsi="Times New Roman" w:cs="Times New Roman"/>
          <w:sz w:val="24"/>
          <w:szCs w:val="24"/>
        </w:rPr>
        <w:t>.0447478</w:t>
      </w:r>
      <w:r w:rsidRPr="001843EC">
        <w:rPr>
          <w:rFonts w:ascii="Times New Roman" w:hAnsi="Times New Roman" w:cs="Times New Roman"/>
          <w:sz w:val="24"/>
          <w:szCs w:val="24"/>
        </w:rPr>
        <w:t xml:space="preserve">). </w:t>
      </w:r>
    </w:p>
    <w:p w:rsidR="00077E34" w:rsidRPr="003523C6" w:rsidRDefault="00EC6655" w:rsidP="00EC6655">
      <w:pPr>
        <w:pStyle w:val="NormalWeb"/>
        <w:shd w:val="clear" w:color="auto" w:fill="FFFFFF"/>
        <w:spacing w:line="480" w:lineRule="auto"/>
        <w:jc w:val="both"/>
        <w:rPr>
          <w:rFonts w:eastAsiaTheme="minorHAnsi"/>
          <w:b/>
          <w:szCs w:val="22"/>
          <w:lang w:eastAsia="en-US"/>
        </w:rPr>
      </w:pPr>
      <w:r w:rsidRPr="003523C6">
        <w:rPr>
          <w:rFonts w:eastAsiaTheme="minorHAnsi"/>
          <w:b/>
          <w:szCs w:val="22"/>
          <w:lang w:eastAsia="en-US"/>
        </w:rPr>
        <w:t xml:space="preserve">4.2.2 </w:t>
      </w:r>
      <w:r w:rsidR="00F16656">
        <w:rPr>
          <w:rFonts w:eastAsiaTheme="minorHAnsi"/>
          <w:b/>
          <w:szCs w:val="22"/>
          <w:lang w:eastAsia="en-US"/>
        </w:rPr>
        <w:t xml:space="preserve">Hasil </w:t>
      </w:r>
      <w:r w:rsidRPr="003523C6">
        <w:rPr>
          <w:rFonts w:eastAsiaTheme="minorHAnsi"/>
          <w:b/>
          <w:szCs w:val="22"/>
          <w:lang w:eastAsia="en-US"/>
        </w:rPr>
        <w:t xml:space="preserve">Uji Analisis Asosiatif </w:t>
      </w:r>
    </w:p>
    <w:p w:rsidR="0090224B" w:rsidRDefault="003C7374" w:rsidP="00465EAA">
      <w:pPr>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 xml:space="preserve">Menurut </w:t>
      </w:r>
      <w:r w:rsidRPr="003C7516">
        <w:rPr>
          <w:rFonts w:ascii="Times New Roman" w:hAnsi="Times New Roman" w:cs="Times New Roman"/>
          <w:sz w:val="24"/>
          <w:szCs w:val="24"/>
        </w:rPr>
        <w:fldChar w:fldCharType="begin" w:fldLock="1"/>
      </w:r>
      <w:r w:rsidRPr="003C7516">
        <w:rPr>
          <w:rFonts w:ascii="Times New Roman" w:hAnsi="Times New Roman" w:cs="Times New Roman"/>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Penelitian","type":"book"},"locator":"44","uris":["http://www.mendeley.com/documents/?uuid=c1abcc91-9272-4559-8de3-1896091fd68d"]}],"mendeley":{"formattedCitation":"(Soedibjo, 2013, hal. 44)","plainTextFormattedCitation":"(Soedibjo, 2013, hal. 44)","previouslyFormattedCitation":"(Soedibjo, 2013, hal. 44)"},"properties":{"noteIndex":0},"schema":"https://github.com/citation-style-language/schema/raw/master/csl-citation.json"}</w:instrText>
      </w:r>
      <w:r w:rsidRPr="003C7516">
        <w:rPr>
          <w:rFonts w:ascii="Times New Roman" w:hAnsi="Times New Roman" w:cs="Times New Roman"/>
          <w:sz w:val="24"/>
          <w:szCs w:val="24"/>
        </w:rPr>
        <w:fldChar w:fldCharType="separate"/>
      </w:r>
      <w:r w:rsidRPr="003C7516">
        <w:rPr>
          <w:rFonts w:ascii="Times New Roman" w:hAnsi="Times New Roman" w:cs="Times New Roman"/>
          <w:noProof/>
          <w:sz w:val="24"/>
          <w:szCs w:val="24"/>
        </w:rPr>
        <w:t>(Soedibjo, 2013, hal. 44)</w:t>
      </w:r>
      <w:r w:rsidRPr="003C7516">
        <w:rPr>
          <w:rFonts w:ascii="Times New Roman" w:hAnsi="Times New Roman" w:cs="Times New Roman"/>
          <w:sz w:val="24"/>
          <w:szCs w:val="24"/>
        </w:rPr>
        <w:fldChar w:fldCharType="end"/>
      </w:r>
      <w:r w:rsidRPr="003C7516">
        <w:rPr>
          <w:rFonts w:ascii="Times New Roman" w:hAnsi="Times New Roman" w:cs="Times New Roman"/>
          <w:sz w:val="24"/>
          <w:szCs w:val="24"/>
        </w:rPr>
        <w:t xml:space="preserve"> mengatakan analisis asosiatif yaitu hubungan fungsional antara dua atau lebih variabel. Analisis yang digunakan dalam penelitian ini adalah analisis kuantitatif yaitu dengan menggunakan analisis regresi data panel dengan menggunakan software STATA. </w:t>
      </w:r>
      <w:r w:rsidR="00645B11" w:rsidRPr="00645B11">
        <w:rPr>
          <w:rFonts w:ascii="Times New Roman" w:hAnsi="Times New Roman" w:cs="Times New Roman"/>
          <w:sz w:val="24"/>
          <w:szCs w:val="24"/>
        </w:rPr>
        <w:t>Terdapat tiga metode dalam mengestimasi model regresi dengan data panel, yaitu</w:t>
      </w:r>
      <w:r w:rsidR="00645B11" w:rsidRPr="00645B11">
        <w:rPr>
          <w:rFonts w:ascii="Times New Roman" w:hAnsi="Times New Roman" w:cs="Times New Roman"/>
          <w:i/>
          <w:sz w:val="24"/>
          <w:szCs w:val="24"/>
        </w:rPr>
        <w:t xml:space="preserve"> Common Effect Model </w:t>
      </w:r>
      <w:r w:rsidR="00645B11" w:rsidRPr="00645B11">
        <w:rPr>
          <w:rFonts w:ascii="Times New Roman" w:hAnsi="Times New Roman" w:cs="Times New Roman"/>
          <w:sz w:val="24"/>
          <w:szCs w:val="24"/>
        </w:rPr>
        <w:t xml:space="preserve">(CEM), </w:t>
      </w:r>
      <w:r w:rsidR="00645B11" w:rsidRPr="00645B11">
        <w:rPr>
          <w:rFonts w:ascii="Times New Roman" w:hAnsi="Times New Roman" w:cs="Times New Roman"/>
          <w:i/>
          <w:sz w:val="24"/>
          <w:szCs w:val="24"/>
        </w:rPr>
        <w:t>Fixed Effect Model</w:t>
      </w:r>
      <w:r w:rsidR="00645B11" w:rsidRPr="00645B11">
        <w:rPr>
          <w:rFonts w:ascii="Times New Roman" w:hAnsi="Times New Roman" w:cs="Times New Roman"/>
          <w:sz w:val="24"/>
          <w:szCs w:val="24"/>
        </w:rPr>
        <w:t xml:space="preserve"> (FEM), dan</w:t>
      </w:r>
      <w:r w:rsidR="00645B11" w:rsidRPr="00645B11">
        <w:rPr>
          <w:rFonts w:ascii="Times New Roman" w:hAnsi="Times New Roman" w:cs="Times New Roman"/>
          <w:i/>
          <w:sz w:val="24"/>
          <w:szCs w:val="24"/>
        </w:rPr>
        <w:t xml:space="preserve"> Random Effect Model</w:t>
      </w:r>
      <w:r w:rsidR="00645B11" w:rsidRPr="00645B11">
        <w:rPr>
          <w:rFonts w:ascii="Times New Roman" w:hAnsi="Times New Roman" w:cs="Times New Roman"/>
          <w:sz w:val="24"/>
          <w:szCs w:val="24"/>
        </w:rPr>
        <w:t xml:space="preserve"> (REM).</w:t>
      </w:r>
      <w:r w:rsidR="0090224B">
        <w:rPr>
          <w:rFonts w:ascii="Times New Roman" w:hAnsi="Times New Roman" w:cs="Times New Roman"/>
          <w:sz w:val="24"/>
          <w:szCs w:val="24"/>
        </w:rPr>
        <w:t xml:space="preserve"> Berikut hasil estimasi dari ketiga model tersebut :</w:t>
      </w:r>
    </w:p>
    <w:p w:rsidR="00A83CE7" w:rsidRDefault="00A83CE7" w:rsidP="00465EAA">
      <w:pPr>
        <w:spacing w:line="480" w:lineRule="auto"/>
        <w:jc w:val="both"/>
        <w:rPr>
          <w:rFonts w:ascii="Times New Roman" w:hAnsi="Times New Roman" w:cs="Times New Roman"/>
          <w:sz w:val="24"/>
          <w:szCs w:val="24"/>
        </w:rPr>
      </w:pPr>
    </w:p>
    <w:p w:rsidR="00A83CE7" w:rsidRDefault="00A83CE7" w:rsidP="00465EAA">
      <w:pPr>
        <w:spacing w:line="480" w:lineRule="auto"/>
        <w:jc w:val="both"/>
        <w:rPr>
          <w:rFonts w:ascii="Times New Roman" w:hAnsi="Times New Roman" w:cs="Times New Roman"/>
          <w:sz w:val="24"/>
          <w:szCs w:val="24"/>
        </w:rPr>
      </w:pPr>
    </w:p>
    <w:p w:rsidR="00A83CE7" w:rsidRDefault="00A83CE7" w:rsidP="00465EAA">
      <w:pPr>
        <w:spacing w:line="480" w:lineRule="auto"/>
        <w:jc w:val="both"/>
        <w:rPr>
          <w:rFonts w:ascii="Times New Roman" w:hAnsi="Times New Roman" w:cs="Times New Roman"/>
          <w:sz w:val="24"/>
          <w:szCs w:val="24"/>
        </w:rPr>
      </w:pPr>
    </w:p>
    <w:p w:rsidR="00A83CE7" w:rsidRDefault="00A83CE7" w:rsidP="00465EAA">
      <w:pPr>
        <w:spacing w:line="480" w:lineRule="auto"/>
        <w:jc w:val="both"/>
        <w:rPr>
          <w:rFonts w:ascii="Times New Roman" w:hAnsi="Times New Roman" w:cs="Times New Roman"/>
          <w:sz w:val="24"/>
          <w:szCs w:val="24"/>
        </w:rPr>
      </w:pPr>
    </w:p>
    <w:p w:rsidR="00465EAA" w:rsidRDefault="00465EAA" w:rsidP="00465EAA">
      <w:pPr>
        <w:pStyle w:val="Caption"/>
        <w:jc w:val="center"/>
        <w:rPr>
          <w:rFonts w:ascii="Times New Roman" w:hAnsi="Times New Roman" w:cs="Times New Roman"/>
          <w:color w:val="000000" w:themeColor="text1"/>
          <w:sz w:val="24"/>
        </w:rPr>
      </w:pPr>
      <w:r w:rsidRPr="00465EAA">
        <w:rPr>
          <w:rFonts w:ascii="Times New Roman" w:hAnsi="Times New Roman" w:cs="Times New Roman"/>
          <w:color w:val="000000" w:themeColor="text1"/>
          <w:sz w:val="24"/>
        </w:rPr>
        <w:lastRenderedPageBreak/>
        <w:t xml:space="preserve">Tabel 4. </w:t>
      </w:r>
      <w:r w:rsidRPr="00465EAA">
        <w:rPr>
          <w:rFonts w:ascii="Times New Roman" w:hAnsi="Times New Roman" w:cs="Times New Roman"/>
          <w:color w:val="000000" w:themeColor="text1"/>
          <w:sz w:val="24"/>
        </w:rPr>
        <w:fldChar w:fldCharType="begin"/>
      </w:r>
      <w:r w:rsidRPr="00465EAA">
        <w:rPr>
          <w:rFonts w:ascii="Times New Roman" w:hAnsi="Times New Roman" w:cs="Times New Roman"/>
          <w:color w:val="000000" w:themeColor="text1"/>
          <w:sz w:val="24"/>
        </w:rPr>
        <w:instrText xml:space="preserve"> SEQ Tabel_4. \* ARABIC </w:instrText>
      </w:r>
      <w:r w:rsidRPr="00465EAA">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5</w:t>
      </w:r>
      <w:r w:rsidRPr="00465EAA">
        <w:rPr>
          <w:rFonts w:ascii="Times New Roman" w:hAnsi="Times New Roman" w:cs="Times New Roman"/>
          <w:color w:val="000000" w:themeColor="text1"/>
          <w:sz w:val="24"/>
        </w:rPr>
        <w:fldChar w:fldCharType="end"/>
      </w:r>
      <w:r w:rsidRPr="00465EAA">
        <w:rPr>
          <w:rFonts w:ascii="Times New Roman" w:hAnsi="Times New Roman" w:cs="Times New Roman"/>
          <w:color w:val="000000" w:themeColor="text1"/>
          <w:sz w:val="24"/>
        </w:rPr>
        <w:t xml:space="preserve"> </w:t>
      </w:r>
      <w:r w:rsidR="00367343">
        <w:rPr>
          <w:rFonts w:ascii="Times New Roman" w:hAnsi="Times New Roman" w:cs="Times New Roman"/>
          <w:color w:val="000000" w:themeColor="text1"/>
          <w:sz w:val="24"/>
        </w:rPr>
        <w:t xml:space="preserve">Hasil Uji </w:t>
      </w:r>
      <w:r w:rsidRPr="00701850">
        <w:rPr>
          <w:rFonts w:ascii="Times New Roman" w:hAnsi="Times New Roman" w:cs="Times New Roman"/>
          <w:i/>
          <w:color w:val="000000" w:themeColor="text1"/>
          <w:sz w:val="24"/>
        </w:rPr>
        <w:t>Common Effect Model</w:t>
      </w:r>
      <w:r w:rsidRPr="00465EAA">
        <w:rPr>
          <w:rFonts w:ascii="Times New Roman" w:hAnsi="Times New Roman" w:cs="Times New Roman"/>
          <w:color w:val="000000" w:themeColor="text1"/>
          <w:sz w:val="24"/>
        </w:rPr>
        <w:t xml:space="preserve"> (CEM)</w:t>
      </w:r>
    </w:p>
    <w:p w:rsidR="00465EAA" w:rsidRDefault="002970DE" w:rsidP="002970DE">
      <w:pPr>
        <w:jc w:val="center"/>
      </w:pPr>
      <w:r>
        <w:rPr>
          <w:noProof/>
          <w:lang w:eastAsia="id-ID"/>
        </w:rPr>
        <w:drawing>
          <wp:inline distT="0" distB="0" distL="0" distR="0">
            <wp:extent cx="4210990" cy="2028825"/>
            <wp:effectExtent l="19050" t="19050" r="18415" b="9525"/>
            <wp:docPr id="8" name="Picture 8" descr="C:\Users\ACER\Downloads\WhatsApp Image 2023-07-24 at 17.07.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Downloads\WhatsApp Image 2023-07-24 at 17.07.40.jpe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12051" cy="2029336"/>
                    </a:xfrm>
                    <a:prstGeom prst="rect">
                      <a:avLst/>
                    </a:prstGeom>
                    <a:noFill/>
                    <a:ln>
                      <a:solidFill>
                        <a:schemeClr val="tx1"/>
                      </a:solidFill>
                    </a:ln>
                  </pic:spPr>
                </pic:pic>
              </a:graphicData>
            </a:graphic>
          </wp:inline>
        </w:drawing>
      </w:r>
    </w:p>
    <w:p w:rsidR="002970DE" w:rsidRDefault="002970DE" w:rsidP="002970DE">
      <w:pPr>
        <w:rPr>
          <w:rFonts w:ascii="Times New Roman" w:hAnsi="Times New Roman" w:cs="Times New Roman"/>
          <w:sz w:val="24"/>
        </w:rPr>
      </w:pPr>
      <w:r w:rsidRPr="00367343">
        <w:rPr>
          <w:rFonts w:ascii="Times New Roman" w:hAnsi="Times New Roman" w:cs="Times New Roman"/>
          <w:sz w:val="24"/>
        </w:rPr>
        <w:t>Sumber :</w:t>
      </w:r>
      <w:r w:rsidR="00367343" w:rsidRPr="00367343">
        <w:rPr>
          <w:rFonts w:ascii="Times New Roman" w:hAnsi="Times New Roman" w:cs="Times New Roman"/>
          <w:sz w:val="24"/>
        </w:rPr>
        <w:t xml:space="preserve"> </w:t>
      </w:r>
      <w:r w:rsidR="00FB09CE">
        <w:rPr>
          <w:rFonts w:ascii="Times New Roman" w:hAnsi="Times New Roman" w:cs="Times New Roman"/>
          <w:sz w:val="24"/>
        </w:rPr>
        <w:t>Hasil olah STATA,</w:t>
      </w:r>
      <w:r w:rsidR="00FB09CE" w:rsidRPr="00701850">
        <w:rPr>
          <w:rFonts w:ascii="Times New Roman" w:hAnsi="Times New Roman" w:cs="Times New Roman"/>
          <w:sz w:val="24"/>
        </w:rPr>
        <w:t xml:space="preserve"> 2023</w:t>
      </w:r>
    </w:p>
    <w:p w:rsidR="00A83CE7" w:rsidRDefault="00D67B91" w:rsidP="006741C0">
      <w:pPr>
        <w:spacing w:line="480" w:lineRule="auto"/>
        <w:jc w:val="both"/>
        <w:rPr>
          <w:rFonts w:ascii="Times New Roman" w:hAnsi="Times New Roman" w:cs="Times New Roman"/>
          <w:sz w:val="24"/>
        </w:rPr>
      </w:pPr>
      <w:r>
        <w:rPr>
          <w:rFonts w:ascii="Times New Roman" w:hAnsi="Times New Roman" w:cs="Times New Roman"/>
          <w:sz w:val="24"/>
        </w:rPr>
        <w:t xml:space="preserve">Berdasarkan tabel 4.5 diatas, diketahui bahwa nilai Prob &gt; F dari </w:t>
      </w:r>
      <w:r w:rsidRPr="00701850">
        <w:rPr>
          <w:rFonts w:ascii="Times New Roman" w:hAnsi="Times New Roman" w:cs="Times New Roman"/>
          <w:i/>
          <w:sz w:val="24"/>
        </w:rPr>
        <w:t xml:space="preserve">Common Effect Model </w:t>
      </w:r>
      <w:r>
        <w:rPr>
          <w:rFonts w:ascii="Times New Roman" w:hAnsi="Times New Roman" w:cs="Times New Roman"/>
          <w:sz w:val="24"/>
        </w:rPr>
        <w:t>sebesar (0,0000). Nilai ini selanjutnya akan digunakan untuk mengestimasi model regresi data panel dalam penelitian ini.</w:t>
      </w:r>
    </w:p>
    <w:p w:rsidR="006741C0" w:rsidRDefault="006741C0" w:rsidP="006741C0">
      <w:pPr>
        <w:pStyle w:val="Caption"/>
        <w:jc w:val="center"/>
        <w:rPr>
          <w:rFonts w:ascii="Times New Roman" w:hAnsi="Times New Roman" w:cs="Times New Roman"/>
          <w:color w:val="000000" w:themeColor="text1"/>
          <w:sz w:val="24"/>
        </w:rPr>
      </w:pPr>
      <w:r w:rsidRPr="006741C0">
        <w:rPr>
          <w:rFonts w:ascii="Times New Roman" w:hAnsi="Times New Roman" w:cs="Times New Roman"/>
          <w:color w:val="000000" w:themeColor="text1"/>
          <w:sz w:val="24"/>
        </w:rPr>
        <w:t xml:space="preserve">Tabel 4. </w:t>
      </w:r>
      <w:r w:rsidRPr="006741C0">
        <w:rPr>
          <w:rFonts w:ascii="Times New Roman" w:hAnsi="Times New Roman" w:cs="Times New Roman"/>
          <w:color w:val="000000" w:themeColor="text1"/>
          <w:sz w:val="24"/>
        </w:rPr>
        <w:fldChar w:fldCharType="begin"/>
      </w:r>
      <w:r w:rsidRPr="006741C0">
        <w:rPr>
          <w:rFonts w:ascii="Times New Roman" w:hAnsi="Times New Roman" w:cs="Times New Roman"/>
          <w:color w:val="000000" w:themeColor="text1"/>
          <w:sz w:val="24"/>
        </w:rPr>
        <w:instrText xml:space="preserve"> SEQ Tabel_4. \* ARABIC </w:instrText>
      </w:r>
      <w:r w:rsidRPr="006741C0">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6</w:t>
      </w:r>
      <w:r w:rsidRPr="006741C0">
        <w:rPr>
          <w:rFonts w:ascii="Times New Roman" w:hAnsi="Times New Roman" w:cs="Times New Roman"/>
          <w:color w:val="000000" w:themeColor="text1"/>
          <w:sz w:val="24"/>
        </w:rPr>
        <w:fldChar w:fldCharType="end"/>
      </w:r>
      <w:r w:rsidRPr="006741C0">
        <w:rPr>
          <w:rFonts w:ascii="Times New Roman" w:hAnsi="Times New Roman" w:cs="Times New Roman"/>
          <w:color w:val="000000" w:themeColor="text1"/>
          <w:sz w:val="24"/>
        </w:rPr>
        <w:t xml:space="preserve"> Hasil Uji </w:t>
      </w:r>
      <w:r w:rsidRPr="00701850">
        <w:rPr>
          <w:rFonts w:ascii="Times New Roman" w:hAnsi="Times New Roman" w:cs="Times New Roman"/>
          <w:i/>
          <w:color w:val="000000" w:themeColor="text1"/>
          <w:sz w:val="24"/>
        </w:rPr>
        <w:t>Fixed Effect Model</w:t>
      </w:r>
      <w:r w:rsidRPr="006741C0">
        <w:rPr>
          <w:rFonts w:ascii="Times New Roman" w:hAnsi="Times New Roman" w:cs="Times New Roman"/>
          <w:color w:val="000000" w:themeColor="text1"/>
          <w:sz w:val="24"/>
        </w:rPr>
        <w:t xml:space="preserve"> (FEM)</w:t>
      </w:r>
    </w:p>
    <w:p w:rsidR="00701850" w:rsidRDefault="00701850" w:rsidP="00701850">
      <w:pPr>
        <w:jc w:val="center"/>
      </w:pPr>
      <w:r>
        <w:rPr>
          <w:noProof/>
          <w:lang w:eastAsia="id-ID"/>
        </w:rPr>
        <w:drawing>
          <wp:inline distT="0" distB="0" distL="0" distR="0">
            <wp:extent cx="4391025" cy="3213671"/>
            <wp:effectExtent l="19050" t="19050" r="9525" b="25400"/>
            <wp:docPr id="9" name="Picture 9" descr="C:\Users\ACER\Downloads\WhatsApp Image 2023-07-24 at 17.13.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CER\Downloads\WhatsApp Image 2023-07-24 at 17.13.55.jpe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98934" cy="3219460"/>
                    </a:xfrm>
                    <a:prstGeom prst="rect">
                      <a:avLst/>
                    </a:prstGeom>
                    <a:noFill/>
                    <a:ln>
                      <a:solidFill>
                        <a:schemeClr val="tx1"/>
                      </a:solidFill>
                    </a:ln>
                  </pic:spPr>
                </pic:pic>
              </a:graphicData>
            </a:graphic>
          </wp:inline>
        </w:drawing>
      </w:r>
    </w:p>
    <w:p w:rsidR="00701850" w:rsidRDefault="00FB09CE" w:rsidP="00701850">
      <w:pPr>
        <w:rPr>
          <w:rFonts w:ascii="Times New Roman" w:hAnsi="Times New Roman" w:cs="Times New Roman"/>
          <w:sz w:val="24"/>
        </w:rPr>
      </w:pPr>
      <w:r>
        <w:rPr>
          <w:rFonts w:ascii="Times New Roman" w:hAnsi="Times New Roman" w:cs="Times New Roman"/>
          <w:sz w:val="24"/>
        </w:rPr>
        <w:t>Sumber : Hasil olah STATA,</w:t>
      </w:r>
      <w:r w:rsidR="00701850" w:rsidRPr="00701850">
        <w:rPr>
          <w:rFonts w:ascii="Times New Roman" w:hAnsi="Times New Roman" w:cs="Times New Roman"/>
          <w:sz w:val="24"/>
        </w:rPr>
        <w:t xml:space="preserve"> 2023</w:t>
      </w:r>
    </w:p>
    <w:p w:rsidR="006F4D9B" w:rsidRPr="00A236CA" w:rsidRDefault="004346A2" w:rsidP="00A236CA">
      <w:pPr>
        <w:spacing w:line="480" w:lineRule="auto"/>
        <w:jc w:val="both"/>
        <w:rPr>
          <w:rFonts w:ascii="Times New Roman" w:hAnsi="Times New Roman" w:cs="Times New Roman"/>
          <w:sz w:val="24"/>
        </w:rPr>
      </w:pPr>
      <w:r>
        <w:rPr>
          <w:rFonts w:ascii="Times New Roman" w:hAnsi="Times New Roman" w:cs="Times New Roman"/>
          <w:sz w:val="24"/>
        </w:rPr>
        <w:lastRenderedPageBreak/>
        <w:t xml:space="preserve">Berdasarkan tabel 4.6 diatas, diketahui bahwa nilai Prob &gt; F dari </w:t>
      </w:r>
      <w:r>
        <w:rPr>
          <w:rFonts w:ascii="Times New Roman" w:hAnsi="Times New Roman" w:cs="Times New Roman"/>
          <w:i/>
          <w:sz w:val="24"/>
        </w:rPr>
        <w:t xml:space="preserve">Fixed Effec Model </w:t>
      </w:r>
      <w:r>
        <w:rPr>
          <w:rFonts w:ascii="Times New Roman" w:hAnsi="Times New Roman" w:cs="Times New Roman"/>
          <w:sz w:val="24"/>
        </w:rPr>
        <w:t>sebesar (0,0003). Nilai ini selanjutnya akan digunakan untuk mengestimasi model regresi d</w:t>
      </w:r>
      <w:r w:rsidR="00A236CA">
        <w:rPr>
          <w:rFonts w:ascii="Times New Roman" w:hAnsi="Times New Roman" w:cs="Times New Roman"/>
          <w:sz w:val="24"/>
        </w:rPr>
        <w:t>ata panel dalam penelitian ini.</w:t>
      </w:r>
    </w:p>
    <w:p w:rsidR="009D44B4" w:rsidRDefault="009D44B4" w:rsidP="009D44B4">
      <w:pPr>
        <w:pStyle w:val="Caption"/>
        <w:jc w:val="center"/>
        <w:rPr>
          <w:rFonts w:ascii="Times New Roman" w:hAnsi="Times New Roman" w:cs="Times New Roman"/>
          <w:color w:val="000000" w:themeColor="text1"/>
          <w:sz w:val="24"/>
        </w:rPr>
      </w:pPr>
      <w:r w:rsidRPr="009D44B4">
        <w:rPr>
          <w:rFonts w:ascii="Times New Roman" w:hAnsi="Times New Roman" w:cs="Times New Roman"/>
          <w:color w:val="000000" w:themeColor="text1"/>
          <w:sz w:val="24"/>
        </w:rPr>
        <w:t xml:space="preserve">Tabel 4. </w:t>
      </w:r>
      <w:r w:rsidRPr="009D44B4">
        <w:rPr>
          <w:rFonts w:ascii="Times New Roman" w:hAnsi="Times New Roman" w:cs="Times New Roman"/>
          <w:color w:val="000000" w:themeColor="text1"/>
          <w:sz w:val="24"/>
        </w:rPr>
        <w:fldChar w:fldCharType="begin"/>
      </w:r>
      <w:r w:rsidRPr="009D44B4">
        <w:rPr>
          <w:rFonts w:ascii="Times New Roman" w:hAnsi="Times New Roman" w:cs="Times New Roman"/>
          <w:color w:val="000000" w:themeColor="text1"/>
          <w:sz w:val="24"/>
        </w:rPr>
        <w:instrText xml:space="preserve"> SEQ Tabel_4. \* ARABIC </w:instrText>
      </w:r>
      <w:r w:rsidRPr="009D44B4">
        <w:rPr>
          <w:rFonts w:ascii="Times New Roman" w:hAnsi="Times New Roman" w:cs="Times New Roman"/>
          <w:color w:val="000000" w:themeColor="text1"/>
          <w:sz w:val="24"/>
        </w:rPr>
        <w:fldChar w:fldCharType="separate"/>
      </w:r>
      <w:r w:rsidRPr="009D44B4">
        <w:rPr>
          <w:rFonts w:ascii="Times New Roman" w:hAnsi="Times New Roman" w:cs="Times New Roman"/>
          <w:noProof/>
          <w:color w:val="000000" w:themeColor="text1"/>
          <w:sz w:val="24"/>
        </w:rPr>
        <w:t>7</w:t>
      </w:r>
      <w:r w:rsidRPr="009D44B4">
        <w:rPr>
          <w:rFonts w:ascii="Times New Roman" w:hAnsi="Times New Roman" w:cs="Times New Roman"/>
          <w:color w:val="000000" w:themeColor="text1"/>
          <w:sz w:val="24"/>
        </w:rPr>
        <w:fldChar w:fldCharType="end"/>
      </w:r>
      <w:r w:rsidRPr="009D44B4">
        <w:rPr>
          <w:rFonts w:ascii="Times New Roman" w:hAnsi="Times New Roman" w:cs="Times New Roman"/>
          <w:color w:val="000000" w:themeColor="text1"/>
          <w:sz w:val="24"/>
        </w:rPr>
        <w:t xml:space="preserve"> Hasil Uji Random Effect Model (REM)</w:t>
      </w:r>
    </w:p>
    <w:p w:rsidR="009D44B4" w:rsidRPr="009D44B4" w:rsidRDefault="00C62B5D" w:rsidP="00C62B5D">
      <w:pPr>
        <w:jc w:val="center"/>
      </w:pPr>
      <w:r>
        <w:rPr>
          <w:noProof/>
          <w:lang w:eastAsia="id-ID"/>
        </w:rPr>
        <w:drawing>
          <wp:inline distT="0" distB="0" distL="0" distR="0">
            <wp:extent cx="4257675" cy="3101269"/>
            <wp:effectExtent l="19050" t="19050" r="9525" b="23495"/>
            <wp:docPr id="10" name="Picture 10" descr="C:\Users\ACER\Downloads\WhatsApp Image 2023-07-24 at 17.19.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CER\Downloads\WhatsApp Image 2023-07-24 at 17.19.13.jpe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62298" cy="3104637"/>
                    </a:xfrm>
                    <a:prstGeom prst="rect">
                      <a:avLst/>
                    </a:prstGeom>
                    <a:noFill/>
                    <a:ln>
                      <a:solidFill>
                        <a:schemeClr val="tx1"/>
                      </a:solidFill>
                    </a:ln>
                  </pic:spPr>
                </pic:pic>
              </a:graphicData>
            </a:graphic>
          </wp:inline>
        </w:drawing>
      </w:r>
    </w:p>
    <w:p w:rsidR="00701850" w:rsidRDefault="00AB00E6" w:rsidP="00701850">
      <w:pPr>
        <w:rPr>
          <w:rFonts w:ascii="Times New Roman" w:hAnsi="Times New Roman" w:cs="Times New Roman"/>
          <w:sz w:val="24"/>
        </w:rPr>
      </w:pPr>
      <w:r>
        <w:rPr>
          <w:rFonts w:ascii="Times New Roman" w:hAnsi="Times New Roman" w:cs="Times New Roman"/>
          <w:sz w:val="24"/>
        </w:rPr>
        <w:t>Sumber : Hasil olah STATA,</w:t>
      </w:r>
      <w:r w:rsidRPr="00701850">
        <w:rPr>
          <w:rFonts w:ascii="Times New Roman" w:hAnsi="Times New Roman" w:cs="Times New Roman"/>
          <w:sz w:val="24"/>
        </w:rPr>
        <w:t xml:space="preserve"> 2023</w:t>
      </w:r>
    </w:p>
    <w:p w:rsidR="00AB00E6" w:rsidRPr="00701850" w:rsidRDefault="00AB00E6" w:rsidP="00AB00E6">
      <w:pPr>
        <w:spacing w:line="480" w:lineRule="auto"/>
        <w:jc w:val="both"/>
        <w:rPr>
          <w:rFonts w:ascii="Times New Roman" w:hAnsi="Times New Roman" w:cs="Times New Roman"/>
          <w:sz w:val="24"/>
        </w:rPr>
      </w:pPr>
      <w:r>
        <w:rPr>
          <w:rFonts w:ascii="Times New Roman" w:hAnsi="Times New Roman" w:cs="Times New Roman"/>
          <w:sz w:val="24"/>
        </w:rPr>
        <w:t xml:space="preserve">Berdasarkan tabel 4.6 diatas, diketahui bahwa nilai Prob &gt; chi2 dari </w:t>
      </w:r>
      <w:r>
        <w:rPr>
          <w:rFonts w:ascii="Times New Roman" w:hAnsi="Times New Roman" w:cs="Times New Roman"/>
          <w:i/>
          <w:sz w:val="24"/>
        </w:rPr>
        <w:t xml:space="preserve">Random Effect Model </w:t>
      </w:r>
      <w:r w:rsidR="00F20B2E">
        <w:rPr>
          <w:rFonts w:ascii="Times New Roman" w:hAnsi="Times New Roman" w:cs="Times New Roman"/>
          <w:sz w:val="24"/>
        </w:rPr>
        <w:t>sebesar (0,0000</w:t>
      </w:r>
      <w:r>
        <w:rPr>
          <w:rFonts w:ascii="Times New Roman" w:hAnsi="Times New Roman" w:cs="Times New Roman"/>
          <w:sz w:val="24"/>
        </w:rPr>
        <w:t>). Nilai ini selanjutnya akan digunakan untuk mengestimasi model regresi data panel dalam penelitian ini.</w:t>
      </w:r>
    </w:p>
    <w:p w:rsidR="004B442E" w:rsidRDefault="00F93DE9" w:rsidP="003C7374">
      <w:pPr>
        <w:spacing w:line="480" w:lineRule="auto"/>
        <w:ind w:firstLine="567"/>
        <w:jc w:val="both"/>
        <w:rPr>
          <w:rFonts w:ascii="Times New Roman" w:hAnsi="Times New Roman" w:cs="Times New Roman"/>
          <w:sz w:val="24"/>
          <w:szCs w:val="24"/>
        </w:rPr>
      </w:pPr>
      <w:r w:rsidRPr="003C7516">
        <w:rPr>
          <w:rFonts w:ascii="Times New Roman" w:hAnsi="Times New Roman" w:cs="Times New Roman"/>
          <w:sz w:val="24"/>
          <w:szCs w:val="24"/>
        </w:rPr>
        <w:t>Pada penelitian ini</w:t>
      </w:r>
      <w:r w:rsidR="007706A3">
        <w:rPr>
          <w:rFonts w:ascii="Times New Roman" w:hAnsi="Times New Roman" w:cs="Times New Roman"/>
          <w:sz w:val="24"/>
          <w:szCs w:val="24"/>
        </w:rPr>
        <w:t xml:space="preserve"> dilakukan pemilihan model  yang t</w:t>
      </w:r>
      <w:r w:rsidR="004B442E">
        <w:rPr>
          <w:rFonts w:ascii="Times New Roman" w:hAnsi="Times New Roman" w:cs="Times New Roman"/>
          <w:sz w:val="24"/>
          <w:szCs w:val="24"/>
        </w:rPr>
        <w:t>epat dalam mengelola data panel, terdapat beberapa pengujian yang dilakukan, yakni:</w:t>
      </w:r>
    </w:p>
    <w:p w:rsidR="00A236CA" w:rsidRDefault="00A236CA" w:rsidP="003C7374">
      <w:pPr>
        <w:spacing w:line="480" w:lineRule="auto"/>
        <w:ind w:firstLine="567"/>
        <w:jc w:val="both"/>
        <w:rPr>
          <w:rFonts w:ascii="Times New Roman" w:hAnsi="Times New Roman" w:cs="Times New Roman"/>
          <w:sz w:val="24"/>
          <w:szCs w:val="24"/>
        </w:rPr>
      </w:pPr>
    </w:p>
    <w:p w:rsidR="00A236CA" w:rsidRDefault="00A236CA" w:rsidP="003C7374">
      <w:pPr>
        <w:spacing w:line="480" w:lineRule="auto"/>
        <w:ind w:firstLine="567"/>
        <w:jc w:val="both"/>
        <w:rPr>
          <w:rFonts w:ascii="Times New Roman" w:hAnsi="Times New Roman" w:cs="Times New Roman"/>
          <w:sz w:val="24"/>
          <w:szCs w:val="24"/>
        </w:rPr>
      </w:pPr>
    </w:p>
    <w:p w:rsidR="004B442E" w:rsidRDefault="004B442E" w:rsidP="004B442E">
      <w:pPr>
        <w:pStyle w:val="ListParagraph"/>
        <w:numPr>
          <w:ilvl w:val="0"/>
          <w:numId w:val="15"/>
        </w:numPr>
        <w:spacing w:line="480" w:lineRule="auto"/>
        <w:jc w:val="both"/>
        <w:rPr>
          <w:rFonts w:ascii="Times New Roman" w:hAnsi="Times New Roman" w:cs="Times New Roman"/>
          <w:sz w:val="24"/>
          <w:szCs w:val="24"/>
        </w:rPr>
      </w:pPr>
      <w:r w:rsidRPr="004B442E">
        <w:rPr>
          <w:rFonts w:ascii="Times New Roman" w:hAnsi="Times New Roman" w:cs="Times New Roman"/>
          <w:sz w:val="24"/>
          <w:szCs w:val="24"/>
        </w:rPr>
        <w:lastRenderedPageBreak/>
        <w:t xml:space="preserve">Uji Chow </w:t>
      </w:r>
    </w:p>
    <w:p w:rsidR="004B442E" w:rsidRDefault="004B442E" w:rsidP="004B442E">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U</w:t>
      </w:r>
      <w:r w:rsidR="00F93DE9" w:rsidRPr="004B442E">
        <w:rPr>
          <w:rFonts w:ascii="Times New Roman" w:hAnsi="Times New Roman" w:cs="Times New Roman"/>
          <w:sz w:val="24"/>
          <w:szCs w:val="24"/>
        </w:rPr>
        <w:t>ntuk menentukan model yang digunakan</w:t>
      </w:r>
      <w:r w:rsidR="00F51EFB" w:rsidRPr="004B442E">
        <w:rPr>
          <w:rFonts w:ascii="Times New Roman" w:hAnsi="Times New Roman" w:cs="Times New Roman"/>
          <w:sz w:val="24"/>
          <w:szCs w:val="24"/>
        </w:rPr>
        <w:t xml:space="preserve">, apakah model </w:t>
      </w:r>
      <w:r w:rsidR="00326862" w:rsidRPr="004B442E">
        <w:rPr>
          <w:rFonts w:ascii="Times New Roman" w:hAnsi="Times New Roman" w:cs="Times New Roman"/>
          <w:i/>
          <w:sz w:val="24"/>
          <w:szCs w:val="24"/>
        </w:rPr>
        <w:t>Common Effect</w:t>
      </w:r>
      <w:r w:rsidR="00326862" w:rsidRPr="004B442E">
        <w:rPr>
          <w:rFonts w:ascii="Times New Roman" w:hAnsi="Times New Roman" w:cs="Times New Roman"/>
          <w:sz w:val="24"/>
          <w:szCs w:val="24"/>
        </w:rPr>
        <w:t xml:space="preserve"> atau </w:t>
      </w:r>
      <w:r w:rsidR="00326862" w:rsidRPr="004B442E">
        <w:rPr>
          <w:rFonts w:ascii="Times New Roman" w:hAnsi="Times New Roman" w:cs="Times New Roman"/>
          <w:i/>
          <w:sz w:val="24"/>
          <w:szCs w:val="24"/>
        </w:rPr>
        <w:t>Fixed Effect</w:t>
      </w:r>
      <w:r w:rsidR="00326862" w:rsidRPr="004B442E">
        <w:rPr>
          <w:rFonts w:ascii="Times New Roman" w:hAnsi="Times New Roman" w:cs="Times New Roman"/>
          <w:sz w:val="24"/>
          <w:szCs w:val="24"/>
        </w:rPr>
        <w:t xml:space="preserve"> dalam mengestimasi data panel. Dengan ketentuan sebagai berikut :</w:t>
      </w:r>
    </w:p>
    <w:p w:rsidR="004B442E" w:rsidRDefault="00654ED1"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 xml:space="preserve">- Prob &gt; F &lt; 0,05 </w:t>
      </w:r>
      <w:r w:rsidR="0028548A" w:rsidRPr="003C7516">
        <w:rPr>
          <w:rFonts w:ascii="Times New Roman" w:hAnsi="Times New Roman" w:cs="Times New Roman"/>
          <w:sz w:val="24"/>
          <w:szCs w:val="24"/>
        </w:rPr>
        <w:t xml:space="preserve">maka, </w:t>
      </w:r>
      <w:r w:rsidR="003052D6" w:rsidRPr="003C7516">
        <w:rPr>
          <w:rFonts w:ascii="Times New Roman" w:hAnsi="Times New Roman" w:cs="Times New Roman"/>
          <w:sz w:val="24"/>
          <w:szCs w:val="24"/>
        </w:rPr>
        <w:t>H1 diterima dan H0 ditolak</w:t>
      </w:r>
    </w:p>
    <w:p w:rsidR="004B442E" w:rsidRDefault="00252AB8"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w:t>
      </w:r>
      <w:r w:rsidR="005E5A87" w:rsidRPr="003C7516">
        <w:rPr>
          <w:rFonts w:ascii="Times New Roman" w:hAnsi="Times New Roman" w:cs="Times New Roman"/>
          <w:sz w:val="24"/>
          <w:szCs w:val="24"/>
        </w:rPr>
        <w:t xml:space="preserve"> </w:t>
      </w:r>
      <w:r w:rsidRPr="003C7516">
        <w:rPr>
          <w:rFonts w:ascii="Times New Roman" w:hAnsi="Times New Roman" w:cs="Times New Roman"/>
          <w:sz w:val="24"/>
          <w:szCs w:val="24"/>
        </w:rPr>
        <w:t>Prob &gt; F &gt; 0,05 maka, H1 diterima dan H0 ditolak</w:t>
      </w:r>
    </w:p>
    <w:p w:rsidR="004B442E" w:rsidRDefault="003052D6"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Dengan hipotesis sebagai berikut :</w:t>
      </w:r>
    </w:p>
    <w:p w:rsidR="004B442E" w:rsidRDefault="003052D6"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w:t>
      </w:r>
      <w:r w:rsidR="00252AB8" w:rsidRPr="003C7516">
        <w:rPr>
          <w:rFonts w:ascii="Times New Roman" w:hAnsi="Times New Roman" w:cs="Times New Roman"/>
          <w:sz w:val="24"/>
          <w:szCs w:val="24"/>
        </w:rPr>
        <w:t xml:space="preserve"> </w:t>
      </w:r>
      <w:r w:rsidR="005E5A87" w:rsidRPr="003C7516">
        <w:rPr>
          <w:rFonts w:ascii="Times New Roman" w:hAnsi="Times New Roman" w:cs="Times New Roman"/>
          <w:sz w:val="24"/>
          <w:szCs w:val="24"/>
        </w:rPr>
        <w:t xml:space="preserve">H0 = </w:t>
      </w:r>
      <w:r w:rsidR="005E5A87" w:rsidRPr="003C7516">
        <w:rPr>
          <w:rFonts w:ascii="Times New Roman" w:hAnsi="Times New Roman" w:cs="Times New Roman"/>
          <w:i/>
          <w:sz w:val="24"/>
          <w:szCs w:val="24"/>
        </w:rPr>
        <w:t>Common Effect Model</w:t>
      </w:r>
      <w:r w:rsidR="005E5A87" w:rsidRPr="003C7516">
        <w:rPr>
          <w:rFonts w:ascii="Times New Roman" w:hAnsi="Times New Roman" w:cs="Times New Roman"/>
          <w:sz w:val="24"/>
          <w:szCs w:val="24"/>
        </w:rPr>
        <w:t xml:space="preserve"> </w:t>
      </w:r>
    </w:p>
    <w:p w:rsidR="00AD39BA" w:rsidRPr="004B442E" w:rsidRDefault="005E5A87"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 xml:space="preserve">- H1 = </w:t>
      </w:r>
      <w:r w:rsidRPr="003C7516">
        <w:rPr>
          <w:rFonts w:ascii="Times New Roman" w:hAnsi="Times New Roman" w:cs="Times New Roman"/>
          <w:i/>
          <w:sz w:val="24"/>
          <w:szCs w:val="24"/>
        </w:rPr>
        <w:t>Fixed Effect Model</w:t>
      </w:r>
      <w:r w:rsidRPr="003C7516">
        <w:rPr>
          <w:rFonts w:ascii="Times New Roman" w:hAnsi="Times New Roman" w:cs="Times New Roman"/>
          <w:sz w:val="24"/>
          <w:szCs w:val="24"/>
        </w:rPr>
        <w:t xml:space="preserve"> </w:t>
      </w: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521086">
      <w:pPr>
        <w:pStyle w:val="Caption"/>
        <w:rPr>
          <w:rFonts w:ascii="Times New Roman" w:hAnsi="Times New Roman" w:cs="Times New Roman"/>
          <w:color w:val="000000" w:themeColor="text1"/>
          <w:sz w:val="24"/>
        </w:rPr>
      </w:pPr>
    </w:p>
    <w:p w:rsidR="00A83CE7" w:rsidRPr="00A83CE7" w:rsidRDefault="00A83CE7" w:rsidP="00A83CE7"/>
    <w:p w:rsidR="00D523DE" w:rsidRPr="00AD39BA" w:rsidRDefault="00756605" w:rsidP="00AD39BA">
      <w:pPr>
        <w:pStyle w:val="Caption"/>
        <w:jc w:val="center"/>
        <w:rPr>
          <w:rFonts w:ascii="Times New Roman" w:hAnsi="Times New Roman" w:cs="Times New Roman"/>
          <w:color w:val="000000" w:themeColor="text1"/>
          <w:sz w:val="24"/>
        </w:rPr>
      </w:pPr>
      <w:r w:rsidRPr="00D523DE">
        <w:rPr>
          <w:rFonts w:ascii="Times New Roman" w:hAnsi="Times New Roman" w:cs="Times New Roman"/>
          <w:color w:val="000000" w:themeColor="text1"/>
          <w:sz w:val="24"/>
        </w:rPr>
        <w:lastRenderedPageBreak/>
        <w:t xml:space="preserve">Tabel 4. </w:t>
      </w:r>
      <w:r w:rsidRPr="00D523DE">
        <w:rPr>
          <w:rFonts w:ascii="Times New Roman" w:hAnsi="Times New Roman" w:cs="Times New Roman"/>
          <w:color w:val="000000" w:themeColor="text1"/>
          <w:sz w:val="24"/>
        </w:rPr>
        <w:fldChar w:fldCharType="begin"/>
      </w:r>
      <w:r w:rsidRPr="00D523DE">
        <w:rPr>
          <w:rFonts w:ascii="Times New Roman" w:hAnsi="Times New Roman" w:cs="Times New Roman"/>
          <w:color w:val="000000" w:themeColor="text1"/>
          <w:sz w:val="24"/>
        </w:rPr>
        <w:instrText xml:space="preserve"> SEQ Tabel_4. \* ARABIC </w:instrText>
      </w:r>
      <w:r w:rsidRPr="00D523DE">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8</w:t>
      </w:r>
      <w:r w:rsidRPr="00D523DE">
        <w:rPr>
          <w:rFonts w:ascii="Times New Roman" w:hAnsi="Times New Roman" w:cs="Times New Roman"/>
          <w:color w:val="000000" w:themeColor="text1"/>
          <w:sz w:val="24"/>
        </w:rPr>
        <w:fldChar w:fldCharType="end"/>
      </w:r>
      <w:r w:rsidRPr="00D523DE">
        <w:rPr>
          <w:rFonts w:ascii="Times New Roman" w:hAnsi="Times New Roman" w:cs="Times New Roman"/>
          <w:color w:val="000000" w:themeColor="text1"/>
          <w:sz w:val="24"/>
        </w:rPr>
        <w:t xml:space="preserve"> Hasil Uji Chow</w:t>
      </w:r>
    </w:p>
    <w:p w:rsidR="002724AB" w:rsidRDefault="00AD39BA" w:rsidP="00AD39BA">
      <w:pPr>
        <w:pStyle w:val="NormalWeb"/>
        <w:shd w:val="clear" w:color="auto" w:fill="FFFFFF"/>
        <w:jc w:val="center"/>
        <w:rPr>
          <w:color w:val="000000" w:themeColor="text1"/>
        </w:rPr>
      </w:pPr>
      <w:r w:rsidRPr="005C774D">
        <w:rPr>
          <w:noProof/>
        </w:rPr>
        <w:drawing>
          <wp:inline distT="0" distB="0" distL="0" distR="0" wp14:anchorId="2C173422" wp14:editId="1137CF13">
            <wp:extent cx="5038725" cy="7181850"/>
            <wp:effectExtent l="19050" t="19050" r="9525" b="19050"/>
            <wp:docPr id="1780805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1">
                      <a:extLst>
                        <a:ext uri="{28A0092B-C50C-407E-A947-70E740481C1C}">
                          <a14:useLocalDpi xmlns:a14="http://schemas.microsoft.com/office/drawing/2010/main" val="0"/>
                        </a:ext>
                      </a:extLst>
                    </a:blip>
                    <a:srcRect l="-1" r="26971"/>
                    <a:stretch/>
                  </pic:blipFill>
                  <pic:spPr bwMode="auto">
                    <a:xfrm>
                      <a:off x="0" y="0"/>
                      <a:ext cx="5039995" cy="718366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B64D56" w:rsidRDefault="00B64D56" w:rsidP="00B64D56">
      <w:pPr>
        <w:pStyle w:val="NormalWeb"/>
        <w:shd w:val="clear" w:color="auto" w:fill="FFFFFF"/>
        <w:rPr>
          <w:color w:val="000000" w:themeColor="text1"/>
        </w:rPr>
      </w:pPr>
      <w:r>
        <w:rPr>
          <w:color w:val="000000" w:themeColor="text1"/>
        </w:rPr>
        <w:t>Sumber : Data diolah, 2023</w:t>
      </w:r>
    </w:p>
    <w:p w:rsidR="00181463" w:rsidRDefault="00472920" w:rsidP="00615981">
      <w:pPr>
        <w:pStyle w:val="NormalWeb"/>
        <w:shd w:val="clear" w:color="auto" w:fill="FFFFFF"/>
        <w:spacing w:line="480" w:lineRule="auto"/>
        <w:ind w:left="709" w:firstLine="720"/>
        <w:jc w:val="both"/>
        <w:rPr>
          <w:color w:val="000000" w:themeColor="text1"/>
        </w:rPr>
      </w:pPr>
      <w:r>
        <w:rPr>
          <w:color w:val="000000" w:themeColor="text1"/>
        </w:rPr>
        <w:lastRenderedPageBreak/>
        <w:t xml:space="preserve">Dari </w:t>
      </w:r>
      <w:r w:rsidR="00B43B50" w:rsidRPr="00B43B50">
        <w:rPr>
          <w:color w:val="000000" w:themeColor="text1"/>
        </w:rPr>
        <w:t>hasil olah data diatas menunjukan bahwa nilai prob &gt; F sebesar 0,0000, hasil ini menunjukan hipotesis prob &gt; F &lt; 0,05 maka, H1 diterima dan H0 ditolak, dari hasil Uji chow diatas model data panel yang terbaik sementara adalah FEM. Jika Uji</w:t>
      </w:r>
      <w:r w:rsidR="00181463">
        <w:rPr>
          <w:color w:val="000000" w:themeColor="text1"/>
        </w:rPr>
        <w:t xml:space="preserve"> chow yang terpilih adalah FEM.</w:t>
      </w:r>
    </w:p>
    <w:p w:rsidR="00181463" w:rsidRDefault="00181463" w:rsidP="00181463">
      <w:pPr>
        <w:pStyle w:val="NormalWeb"/>
        <w:numPr>
          <w:ilvl w:val="0"/>
          <w:numId w:val="15"/>
        </w:numPr>
        <w:shd w:val="clear" w:color="auto" w:fill="FFFFFF"/>
        <w:spacing w:line="276" w:lineRule="auto"/>
        <w:jc w:val="both"/>
        <w:rPr>
          <w:color w:val="000000" w:themeColor="text1"/>
        </w:rPr>
      </w:pPr>
      <w:r>
        <w:rPr>
          <w:color w:val="000000" w:themeColor="text1"/>
        </w:rPr>
        <w:t>Uji H</w:t>
      </w:r>
      <w:r w:rsidR="00B43B50" w:rsidRPr="00B43B50">
        <w:rPr>
          <w:color w:val="000000" w:themeColor="text1"/>
        </w:rPr>
        <w:t xml:space="preserve">ausman </w:t>
      </w:r>
    </w:p>
    <w:p w:rsidR="00181463" w:rsidRDefault="00181463" w:rsidP="00181463">
      <w:pPr>
        <w:pStyle w:val="NormalWeb"/>
        <w:shd w:val="clear" w:color="auto" w:fill="FFFFFF"/>
        <w:spacing w:line="480" w:lineRule="auto"/>
        <w:ind w:left="720"/>
        <w:jc w:val="both"/>
        <w:rPr>
          <w:color w:val="000000" w:themeColor="text1"/>
        </w:rPr>
      </w:pPr>
      <w:r>
        <w:rPr>
          <w:color w:val="000000" w:themeColor="text1"/>
        </w:rPr>
        <w:t>U</w:t>
      </w:r>
      <w:r w:rsidR="00B43B50" w:rsidRPr="00B43B50">
        <w:rPr>
          <w:color w:val="000000" w:themeColor="text1"/>
        </w:rPr>
        <w:t>ntuk mentukan anatar model REM dan FEM</w:t>
      </w:r>
      <w:r w:rsidR="0096042A">
        <w:rPr>
          <w:color w:val="000000" w:themeColor="text1"/>
        </w:rPr>
        <w:t>.</w:t>
      </w:r>
      <w:r>
        <w:rPr>
          <w:color w:val="000000" w:themeColor="text1"/>
        </w:rPr>
        <w:t xml:space="preserve"> </w:t>
      </w:r>
      <w:r w:rsidR="0096042A" w:rsidRPr="00B43B50">
        <w:rPr>
          <w:color w:val="000000" w:themeColor="text1"/>
        </w:rPr>
        <w:t xml:space="preserve">Dengan ketentuan </w:t>
      </w:r>
      <w:r>
        <w:rPr>
          <w:color w:val="000000" w:themeColor="text1"/>
        </w:rPr>
        <w:t>sebagai berikut :</w:t>
      </w:r>
    </w:p>
    <w:p w:rsidR="00181463" w:rsidRDefault="0096042A" w:rsidP="00181463">
      <w:pPr>
        <w:pStyle w:val="NormalWeb"/>
        <w:shd w:val="clear" w:color="auto" w:fill="FFFFFF"/>
        <w:spacing w:line="480" w:lineRule="auto"/>
        <w:ind w:left="720"/>
        <w:jc w:val="both"/>
        <w:rPr>
          <w:color w:val="000000" w:themeColor="text1"/>
        </w:rPr>
      </w:pPr>
      <w:r>
        <w:rPr>
          <w:color w:val="000000" w:themeColor="text1"/>
        </w:rPr>
        <w:t xml:space="preserve">- </w:t>
      </w:r>
      <w:r w:rsidRPr="00B43B50">
        <w:rPr>
          <w:color w:val="000000" w:themeColor="text1"/>
        </w:rPr>
        <w:t>Chi2 &lt; 0,05 maka H1 diterima dan H0 ditolak</w:t>
      </w:r>
      <w:r>
        <w:rPr>
          <w:color w:val="000000" w:themeColor="text1"/>
        </w:rPr>
        <w:t xml:space="preserve">, maka model yang </w:t>
      </w:r>
      <w:r w:rsidR="00181463">
        <w:rPr>
          <w:color w:val="000000" w:themeColor="text1"/>
        </w:rPr>
        <w:t>dipilih REM</w:t>
      </w:r>
    </w:p>
    <w:p w:rsidR="00181463" w:rsidRDefault="0096042A" w:rsidP="00181463">
      <w:pPr>
        <w:pStyle w:val="NormalWeb"/>
        <w:shd w:val="clear" w:color="auto" w:fill="FFFFFF"/>
        <w:spacing w:line="480" w:lineRule="auto"/>
        <w:ind w:left="720"/>
        <w:jc w:val="both"/>
        <w:rPr>
          <w:color w:val="000000" w:themeColor="text1"/>
        </w:rPr>
      </w:pPr>
      <w:r>
        <w:rPr>
          <w:color w:val="000000" w:themeColor="text1"/>
        </w:rPr>
        <w:t xml:space="preserve">- </w:t>
      </w:r>
      <w:r w:rsidRPr="00B43B50">
        <w:rPr>
          <w:color w:val="000000" w:themeColor="text1"/>
        </w:rPr>
        <w:t>Chi2 &gt; 0,05 maka, H0 diterima dan H1 ditolak</w:t>
      </w:r>
      <w:r>
        <w:rPr>
          <w:color w:val="000000" w:themeColor="text1"/>
        </w:rPr>
        <w:t>, maka model yang dipilih FEM</w:t>
      </w:r>
    </w:p>
    <w:p w:rsidR="00181463" w:rsidRDefault="0096042A" w:rsidP="00181463">
      <w:pPr>
        <w:pStyle w:val="NormalWeb"/>
        <w:shd w:val="clear" w:color="auto" w:fill="FFFFFF"/>
        <w:spacing w:line="480" w:lineRule="auto"/>
        <w:ind w:left="720"/>
        <w:jc w:val="both"/>
        <w:rPr>
          <w:color w:val="000000" w:themeColor="text1"/>
        </w:rPr>
      </w:pPr>
      <w:r>
        <w:rPr>
          <w:color w:val="000000" w:themeColor="text1"/>
        </w:rPr>
        <w:t>D</w:t>
      </w:r>
      <w:r w:rsidRPr="00B43B50">
        <w:rPr>
          <w:color w:val="000000" w:themeColor="text1"/>
        </w:rPr>
        <w:t>engan hipotesis sebagai berikut:</w:t>
      </w:r>
    </w:p>
    <w:p w:rsidR="00181463" w:rsidRDefault="0096042A" w:rsidP="00181463">
      <w:pPr>
        <w:pStyle w:val="NormalWeb"/>
        <w:shd w:val="clear" w:color="auto" w:fill="FFFFFF"/>
        <w:spacing w:line="480" w:lineRule="auto"/>
        <w:ind w:left="720"/>
        <w:jc w:val="both"/>
        <w:rPr>
          <w:color w:val="000000" w:themeColor="text1"/>
        </w:rPr>
      </w:pPr>
      <w:r>
        <w:rPr>
          <w:color w:val="000000" w:themeColor="text1"/>
        </w:rPr>
        <w:t xml:space="preserve">- </w:t>
      </w:r>
      <w:r w:rsidR="00B43B50" w:rsidRPr="00B43B50">
        <w:rPr>
          <w:color w:val="000000" w:themeColor="text1"/>
        </w:rPr>
        <w:t>H0 = Random Effe</w:t>
      </w:r>
      <w:r w:rsidR="00181463">
        <w:rPr>
          <w:color w:val="000000" w:themeColor="text1"/>
        </w:rPr>
        <w:t>ct Model (REM)</w:t>
      </w:r>
    </w:p>
    <w:p w:rsidR="00B43B50" w:rsidRDefault="0096042A" w:rsidP="00181463">
      <w:pPr>
        <w:pStyle w:val="NormalWeb"/>
        <w:shd w:val="clear" w:color="auto" w:fill="FFFFFF"/>
        <w:spacing w:line="480" w:lineRule="auto"/>
        <w:ind w:left="720"/>
        <w:jc w:val="both"/>
        <w:rPr>
          <w:color w:val="000000" w:themeColor="text1"/>
        </w:rPr>
      </w:pPr>
      <w:r>
        <w:rPr>
          <w:color w:val="000000" w:themeColor="text1"/>
        </w:rPr>
        <w:t xml:space="preserve">- </w:t>
      </w:r>
      <w:r w:rsidR="00B43B50" w:rsidRPr="00B43B50">
        <w:rPr>
          <w:color w:val="000000" w:themeColor="text1"/>
        </w:rPr>
        <w:t>H1 = Fixed Effect Model (FEM)</w:t>
      </w: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96042A" w:rsidRPr="00D324E3" w:rsidRDefault="00D324E3" w:rsidP="00D324E3">
      <w:pPr>
        <w:pStyle w:val="Caption"/>
        <w:jc w:val="center"/>
        <w:rPr>
          <w:rFonts w:ascii="Times New Roman" w:hAnsi="Times New Roman" w:cs="Times New Roman"/>
          <w:color w:val="000000" w:themeColor="text1"/>
          <w:sz w:val="24"/>
        </w:rPr>
      </w:pPr>
      <w:r w:rsidRPr="00D324E3">
        <w:rPr>
          <w:rFonts w:ascii="Times New Roman" w:hAnsi="Times New Roman" w:cs="Times New Roman"/>
          <w:color w:val="000000" w:themeColor="text1"/>
          <w:sz w:val="24"/>
        </w:rPr>
        <w:lastRenderedPageBreak/>
        <w:t xml:space="preserve">Tabel 4. </w:t>
      </w:r>
      <w:r w:rsidRPr="00D324E3">
        <w:rPr>
          <w:rFonts w:ascii="Times New Roman" w:hAnsi="Times New Roman" w:cs="Times New Roman"/>
          <w:color w:val="000000" w:themeColor="text1"/>
          <w:sz w:val="24"/>
        </w:rPr>
        <w:fldChar w:fldCharType="begin"/>
      </w:r>
      <w:r w:rsidRPr="00D324E3">
        <w:rPr>
          <w:rFonts w:ascii="Times New Roman" w:hAnsi="Times New Roman" w:cs="Times New Roman"/>
          <w:color w:val="000000" w:themeColor="text1"/>
          <w:sz w:val="24"/>
        </w:rPr>
        <w:instrText xml:space="preserve"> SEQ Tabel_4. \* ARABIC </w:instrText>
      </w:r>
      <w:r w:rsidRPr="00D324E3">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9</w:t>
      </w:r>
      <w:r w:rsidRPr="00D324E3">
        <w:rPr>
          <w:rFonts w:ascii="Times New Roman" w:hAnsi="Times New Roman" w:cs="Times New Roman"/>
          <w:color w:val="000000" w:themeColor="text1"/>
          <w:sz w:val="24"/>
        </w:rPr>
        <w:fldChar w:fldCharType="end"/>
      </w:r>
      <w:r w:rsidRPr="00D324E3">
        <w:rPr>
          <w:rFonts w:ascii="Times New Roman" w:hAnsi="Times New Roman" w:cs="Times New Roman"/>
          <w:color w:val="000000" w:themeColor="text1"/>
          <w:sz w:val="24"/>
        </w:rPr>
        <w:t xml:space="preserve"> Uji Hausman</w:t>
      </w:r>
    </w:p>
    <w:p w:rsidR="00B43B50" w:rsidRDefault="007D0114" w:rsidP="00A236CA">
      <w:pPr>
        <w:pStyle w:val="NormalWeb"/>
        <w:shd w:val="clear" w:color="auto" w:fill="FFFFFF"/>
        <w:jc w:val="center"/>
        <w:rPr>
          <w:color w:val="000000" w:themeColor="text1"/>
        </w:rPr>
      </w:pPr>
      <w:r>
        <w:rPr>
          <w:noProof/>
          <w:color w:val="000000" w:themeColor="text1"/>
        </w:rPr>
        <w:drawing>
          <wp:inline distT="0" distB="0" distL="0" distR="0" wp14:anchorId="44F02368" wp14:editId="4B8B3874">
            <wp:extent cx="4505325" cy="2407041"/>
            <wp:effectExtent l="19050" t="19050" r="9525" b="12700"/>
            <wp:docPr id="6" name="Picture 6" descr="C:\Users\ACER\Downloads\WhatsApp Image 2023-07-24 at 15.21.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Downloads\WhatsApp Image 2023-07-24 at 15.21.14.jpe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06461" cy="2407648"/>
                    </a:xfrm>
                    <a:prstGeom prst="rect">
                      <a:avLst/>
                    </a:prstGeom>
                    <a:noFill/>
                    <a:ln>
                      <a:solidFill>
                        <a:schemeClr val="tx1"/>
                      </a:solidFill>
                    </a:ln>
                  </pic:spPr>
                </pic:pic>
              </a:graphicData>
            </a:graphic>
          </wp:inline>
        </w:drawing>
      </w:r>
    </w:p>
    <w:p w:rsidR="007D0114" w:rsidRDefault="007D0114" w:rsidP="00A236CA">
      <w:pPr>
        <w:pStyle w:val="NormalWeb"/>
        <w:shd w:val="clear" w:color="auto" w:fill="FFFFFF"/>
        <w:spacing w:line="480" w:lineRule="auto"/>
        <w:ind w:firstLine="426"/>
        <w:jc w:val="both"/>
        <w:rPr>
          <w:color w:val="000000" w:themeColor="text1"/>
        </w:rPr>
      </w:pPr>
      <w:r>
        <w:rPr>
          <w:color w:val="000000" w:themeColor="text1"/>
        </w:rPr>
        <w:t>Sumber : Data diolah, 2023</w:t>
      </w:r>
    </w:p>
    <w:p w:rsidR="007D0114" w:rsidRDefault="0026095E" w:rsidP="00615981">
      <w:pPr>
        <w:pStyle w:val="NormalWeb"/>
        <w:shd w:val="clear" w:color="auto" w:fill="FFFFFF"/>
        <w:spacing w:line="480" w:lineRule="auto"/>
        <w:ind w:left="709" w:firstLine="709"/>
        <w:jc w:val="both"/>
        <w:rPr>
          <w:color w:val="000000" w:themeColor="text1"/>
        </w:rPr>
      </w:pPr>
      <w:r>
        <w:rPr>
          <w:color w:val="000000" w:themeColor="text1"/>
        </w:rPr>
        <w:t xml:space="preserve">Dari hasil </w:t>
      </w:r>
      <w:r w:rsidR="007D0114" w:rsidRPr="007D0114">
        <w:rPr>
          <w:color w:val="000000" w:themeColor="text1"/>
        </w:rPr>
        <w:t>olah data uji hausman diatas menunjuka</w:t>
      </w:r>
      <w:r>
        <w:rPr>
          <w:color w:val="000000" w:themeColor="text1"/>
        </w:rPr>
        <w:t>n hasil bahwa Prob &gt; Chi2 = 0,0654</w:t>
      </w:r>
      <w:r w:rsidR="007D0114" w:rsidRPr="007D0114">
        <w:rPr>
          <w:color w:val="000000" w:themeColor="text1"/>
        </w:rPr>
        <w:t xml:space="preserve">, </w:t>
      </w:r>
      <w:r w:rsidR="00735274">
        <w:rPr>
          <w:color w:val="000000" w:themeColor="text1"/>
        </w:rPr>
        <w:t xml:space="preserve">dengan ketentuan </w:t>
      </w:r>
      <w:r>
        <w:rPr>
          <w:color w:val="000000" w:themeColor="text1"/>
        </w:rPr>
        <w:t xml:space="preserve">hipotesis Prob.Chi2 </w:t>
      </w:r>
      <w:r w:rsidR="007D0114" w:rsidRPr="007D0114">
        <w:rPr>
          <w:color w:val="000000" w:themeColor="text1"/>
        </w:rPr>
        <w:t>&gt;</w:t>
      </w:r>
      <w:r>
        <w:rPr>
          <w:color w:val="000000" w:themeColor="text1"/>
        </w:rPr>
        <w:t xml:space="preserve"> </w:t>
      </w:r>
      <w:r w:rsidR="007D0114" w:rsidRPr="007D0114">
        <w:rPr>
          <w:color w:val="000000" w:themeColor="text1"/>
        </w:rPr>
        <w:t>0,05 maka, H0 diterima dan H1</w:t>
      </w:r>
      <w:r w:rsidR="00735274">
        <w:rPr>
          <w:color w:val="000000" w:themeColor="text1"/>
        </w:rPr>
        <w:t xml:space="preserve"> </w:t>
      </w:r>
      <w:r w:rsidR="007D0114" w:rsidRPr="007D0114">
        <w:rPr>
          <w:color w:val="000000" w:themeColor="text1"/>
        </w:rPr>
        <w:t>ditolak, dari hasil uji hausman diatas model data panel yang terbaik ada</w:t>
      </w:r>
      <w:r w:rsidR="00E45ABD">
        <w:rPr>
          <w:color w:val="000000" w:themeColor="text1"/>
        </w:rPr>
        <w:t>lah REM. P</w:t>
      </w:r>
      <w:r w:rsidR="00735274">
        <w:rPr>
          <w:color w:val="000000" w:themeColor="text1"/>
        </w:rPr>
        <w:t>ada</w:t>
      </w:r>
      <w:r w:rsidR="007D0114" w:rsidRPr="007D0114">
        <w:rPr>
          <w:color w:val="000000" w:themeColor="text1"/>
        </w:rPr>
        <w:t xml:space="preserve"> hasil</w:t>
      </w:r>
      <w:r w:rsidR="00735274">
        <w:rPr>
          <w:color w:val="000000" w:themeColor="text1"/>
        </w:rPr>
        <w:t xml:space="preserve"> </w:t>
      </w:r>
      <w:r w:rsidR="007D0114" w:rsidRPr="007D0114">
        <w:rPr>
          <w:color w:val="000000" w:themeColor="text1"/>
        </w:rPr>
        <w:t xml:space="preserve">pengujian dalam menentukan model regresi data panel terbaik menyatakan bahwa REM adalah model terbaik dalam penelitian ini. </w:t>
      </w:r>
    </w:p>
    <w:p w:rsidR="00072264" w:rsidRPr="00AD7AE8" w:rsidRDefault="00072264" w:rsidP="00AD7AE8">
      <w:pPr>
        <w:numPr>
          <w:ilvl w:val="0"/>
          <w:numId w:val="15"/>
        </w:numPr>
        <w:spacing w:line="480" w:lineRule="auto"/>
        <w:jc w:val="both"/>
        <w:rPr>
          <w:rFonts w:ascii="Times New Roman" w:hAnsi="Times New Roman" w:cs="Times New Roman"/>
          <w:sz w:val="24"/>
          <w:szCs w:val="24"/>
        </w:rPr>
      </w:pPr>
      <w:r w:rsidRPr="00AD7AE8">
        <w:rPr>
          <w:rFonts w:ascii="Times New Roman" w:hAnsi="Times New Roman" w:cs="Times New Roman"/>
          <w:sz w:val="24"/>
          <w:szCs w:val="24"/>
        </w:rPr>
        <w:t>Uji Lagrange Multiplier</w:t>
      </w:r>
    </w:p>
    <w:p w:rsidR="00072264" w:rsidRPr="00AD7AE8" w:rsidRDefault="00034E27" w:rsidP="00AD7AE8">
      <w:pPr>
        <w:spacing w:line="480" w:lineRule="auto"/>
        <w:ind w:left="720"/>
        <w:jc w:val="both"/>
        <w:rPr>
          <w:rFonts w:ascii="Times New Roman" w:hAnsi="Times New Roman" w:cs="Times New Roman"/>
          <w:sz w:val="24"/>
          <w:szCs w:val="24"/>
        </w:rPr>
      </w:pPr>
      <w:r w:rsidRPr="00AD7AE8">
        <w:rPr>
          <w:rFonts w:ascii="Times New Roman" w:hAnsi="Times New Roman" w:cs="Times New Roman"/>
          <w:sz w:val="24"/>
          <w:szCs w:val="24"/>
        </w:rPr>
        <w:t>Untuk menguji REM dan CEM, tetapi be</w:t>
      </w:r>
      <w:r w:rsidR="00A12C92" w:rsidRPr="00AD7AE8">
        <w:rPr>
          <w:rFonts w:ascii="Times New Roman" w:hAnsi="Times New Roman" w:cs="Times New Roman"/>
          <w:sz w:val="24"/>
          <w:szCs w:val="24"/>
        </w:rPr>
        <w:t>rdasarkan hasil uji C</w:t>
      </w:r>
      <w:r w:rsidR="00B61745" w:rsidRPr="00AD7AE8">
        <w:rPr>
          <w:rFonts w:ascii="Times New Roman" w:hAnsi="Times New Roman" w:cs="Times New Roman"/>
          <w:sz w:val="24"/>
          <w:szCs w:val="24"/>
        </w:rPr>
        <w:t xml:space="preserve">how yang terpilih yaitu </w:t>
      </w:r>
      <w:r w:rsidR="00B61745" w:rsidRPr="00AD7AE8">
        <w:rPr>
          <w:rFonts w:ascii="Times New Roman" w:hAnsi="Times New Roman" w:cs="Times New Roman"/>
          <w:i/>
          <w:sz w:val="24"/>
          <w:szCs w:val="24"/>
        </w:rPr>
        <w:t>Fixed Effect Model</w:t>
      </w:r>
      <w:r w:rsidR="00B61745" w:rsidRPr="00AD7AE8">
        <w:rPr>
          <w:rFonts w:ascii="Times New Roman" w:hAnsi="Times New Roman" w:cs="Times New Roman"/>
          <w:sz w:val="24"/>
          <w:szCs w:val="24"/>
        </w:rPr>
        <w:t xml:space="preserve"> (FEM), s</w:t>
      </w:r>
      <w:r w:rsidR="00A12C92" w:rsidRPr="00AD7AE8">
        <w:rPr>
          <w:rFonts w:ascii="Times New Roman" w:hAnsi="Times New Roman" w:cs="Times New Roman"/>
          <w:sz w:val="24"/>
          <w:szCs w:val="24"/>
        </w:rPr>
        <w:t>edangkan berdasarkan hasil uji H</w:t>
      </w:r>
      <w:r w:rsidR="00B61745" w:rsidRPr="00AD7AE8">
        <w:rPr>
          <w:rFonts w:ascii="Times New Roman" w:hAnsi="Times New Roman" w:cs="Times New Roman"/>
          <w:sz w:val="24"/>
          <w:szCs w:val="24"/>
        </w:rPr>
        <w:t xml:space="preserve">ausman yang terpilih yaitu </w:t>
      </w:r>
      <w:r w:rsidR="00A12C92" w:rsidRPr="00AD7AE8">
        <w:rPr>
          <w:rFonts w:ascii="Times New Roman" w:hAnsi="Times New Roman" w:cs="Times New Roman"/>
          <w:i/>
          <w:sz w:val="24"/>
          <w:szCs w:val="24"/>
        </w:rPr>
        <w:t>Random Effect Model</w:t>
      </w:r>
      <w:r w:rsidR="00A12C92" w:rsidRPr="00AD7AE8">
        <w:rPr>
          <w:rFonts w:ascii="Times New Roman" w:hAnsi="Times New Roman" w:cs="Times New Roman"/>
          <w:sz w:val="24"/>
          <w:szCs w:val="24"/>
        </w:rPr>
        <w:t xml:space="preserve"> (REM). Maka uji Breusch and Pagan Lagrangian Multiplier</w:t>
      </w:r>
      <w:r w:rsidRPr="00AD7AE8">
        <w:rPr>
          <w:rFonts w:ascii="Times New Roman" w:hAnsi="Times New Roman" w:cs="Times New Roman"/>
          <w:sz w:val="24"/>
          <w:szCs w:val="24"/>
        </w:rPr>
        <w:t xml:space="preserve"> tidak dilakukan</w:t>
      </w:r>
      <w:r w:rsidR="00AD7AE8" w:rsidRPr="00AD7AE8">
        <w:rPr>
          <w:rFonts w:ascii="Times New Roman" w:hAnsi="Times New Roman" w:cs="Times New Roman"/>
          <w:sz w:val="24"/>
          <w:szCs w:val="24"/>
        </w:rPr>
        <w:t xml:space="preserve">, dan selanjutnya yang terpilih adalah </w:t>
      </w:r>
      <w:r w:rsidR="00AD7AE8" w:rsidRPr="00AD7AE8">
        <w:rPr>
          <w:rFonts w:ascii="Times New Roman" w:hAnsi="Times New Roman" w:cs="Times New Roman"/>
          <w:i/>
          <w:sz w:val="24"/>
          <w:szCs w:val="24"/>
        </w:rPr>
        <w:t>Random Effect Model</w:t>
      </w:r>
      <w:r w:rsidR="00AD7AE8" w:rsidRPr="00AD7AE8">
        <w:rPr>
          <w:rFonts w:ascii="Times New Roman" w:hAnsi="Times New Roman" w:cs="Times New Roman"/>
          <w:sz w:val="24"/>
          <w:szCs w:val="24"/>
        </w:rPr>
        <w:t xml:space="preserve"> (REM)</w:t>
      </w:r>
      <w:r w:rsidR="00AD7AE8">
        <w:rPr>
          <w:rFonts w:ascii="Times New Roman" w:hAnsi="Times New Roman" w:cs="Times New Roman"/>
          <w:sz w:val="24"/>
          <w:szCs w:val="24"/>
        </w:rPr>
        <w:t>.</w:t>
      </w:r>
    </w:p>
    <w:p w:rsidR="008E19E4" w:rsidRPr="00AD7AE8" w:rsidRDefault="008E19E4" w:rsidP="008E19E4">
      <w:pPr>
        <w:pStyle w:val="NormalWeb"/>
        <w:shd w:val="clear" w:color="auto" w:fill="FFFFFF"/>
        <w:spacing w:line="480" w:lineRule="auto"/>
        <w:jc w:val="both"/>
        <w:rPr>
          <w:b/>
          <w:color w:val="000000" w:themeColor="text1"/>
        </w:rPr>
      </w:pPr>
      <w:r w:rsidRPr="00AD7AE8">
        <w:rPr>
          <w:b/>
          <w:color w:val="000000" w:themeColor="text1"/>
        </w:rPr>
        <w:lastRenderedPageBreak/>
        <w:t>4.2.3 Hasil Uji Hipotesis Statistik</w:t>
      </w:r>
    </w:p>
    <w:p w:rsidR="00ED2877" w:rsidRDefault="00ED2877" w:rsidP="00ED2877">
      <w:pPr>
        <w:pStyle w:val="NormalWeb"/>
        <w:shd w:val="clear" w:color="auto" w:fill="FFFFFF"/>
        <w:spacing w:line="480" w:lineRule="auto"/>
        <w:ind w:firstLine="567"/>
        <w:jc w:val="both"/>
        <w:rPr>
          <w:color w:val="000000" w:themeColor="text1"/>
        </w:rPr>
      </w:pPr>
      <w:r>
        <w:rPr>
          <w:color w:val="000000" w:themeColor="text1"/>
        </w:rPr>
        <w:t xml:space="preserve">Dari hasil pengujian </w:t>
      </w:r>
      <w:r w:rsidRPr="00ED2877">
        <w:rPr>
          <w:color w:val="000000" w:themeColor="text1"/>
        </w:rPr>
        <w:t>sebelumnya telah dijelaskan bahwa model regresi yang terbaik yang digunakan dalam penelitian ini adalah model Random Effect Model (REM), maka peneliti menguji hipotesis yakni, uji t parsial model Random Effect Model (REM) menggunakan aplikasi STATA dengan hasil yang ditunjukan oleh tabel sebagai berikut:</w:t>
      </w:r>
    </w:p>
    <w:p w:rsidR="00853EC9" w:rsidRDefault="00853EC9" w:rsidP="00853EC9">
      <w:pPr>
        <w:pStyle w:val="Caption"/>
        <w:jc w:val="center"/>
        <w:rPr>
          <w:rFonts w:ascii="Times New Roman" w:hAnsi="Times New Roman" w:cs="Times New Roman"/>
          <w:color w:val="000000" w:themeColor="text1"/>
          <w:sz w:val="24"/>
        </w:rPr>
      </w:pPr>
      <w:r w:rsidRPr="00853EC9">
        <w:rPr>
          <w:rFonts w:ascii="Times New Roman" w:hAnsi="Times New Roman" w:cs="Times New Roman"/>
          <w:color w:val="000000" w:themeColor="text1"/>
          <w:sz w:val="24"/>
        </w:rPr>
        <w:t xml:space="preserve">Tabel 4. </w:t>
      </w:r>
      <w:r w:rsidRPr="00853EC9">
        <w:rPr>
          <w:rFonts w:ascii="Times New Roman" w:hAnsi="Times New Roman" w:cs="Times New Roman"/>
          <w:color w:val="000000" w:themeColor="text1"/>
          <w:sz w:val="24"/>
        </w:rPr>
        <w:fldChar w:fldCharType="begin"/>
      </w:r>
      <w:r w:rsidRPr="00853EC9">
        <w:rPr>
          <w:rFonts w:ascii="Times New Roman" w:hAnsi="Times New Roman" w:cs="Times New Roman"/>
          <w:color w:val="000000" w:themeColor="text1"/>
          <w:sz w:val="24"/>
        </w:rPr>
        <w:instrText xml:space="preserve"> SEQ Tabel_4. \* ARABIC </w:instrText>
      </w:r>
      <w:r w:rsidRPr="00853EC9">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10</w:t>
      </w:r>
      <w:r w:rsidRPr="00853EC9">
        <w:rPr>
          <w:rFonts w:ascii="Times New Roman" w:hAnsi="Times New Roman" w:cs="Times New Roman"/>
          <w:color w:val="000000" w:themeColor="text1"/>
          <w:sz w:val="24"/>
        </w:rPr>
        <w:fldChar w:fldCharType="end"/>
      </w:r>
      <w:r w:rsidRPr="00853EC9">
        <w:rPr>
          <w:rFonts w:ascii="Times New Roman" w:hAnsi="Times New Roman" w:cs="Times New Roman"/>
          <w:color w:val="000000" w:themeColor="text1"/>
          <w:sz w:val="24"/>
        </w:rPr>
        <w:t xml:space="preserve"> Random Effect Model (REM)</w:t>
      </w:r>
    </w:p>
    <w:p w:rsidR="00853EC9" w:rsidRDefault="00594EDF" w:rsidP="00594EDF">
      <w:pPr>
        <w:jc w:val="center"/>
        <w:rPr>
          <w:lang w:eastAsia="id-ID"/>
        </w:rPr>
      </w:pPr>
      <w:r>
        <w:rPr>
          <w:noProof/>
          <w:lang w:eastAsia="id-ID"/>
        </w:rPr>
        <w:drawing>
          <wp:inline distT="0" distB="0" distL="0" distR="0">
            <wp:extent cx="4314825" cy="3109731"/>
            <wp:effectExtent l="19050" t="19050" r="9525" b="14605"/>
            <wp:docPr id="7" name="Picture 7" descr="C:\Users\ACER\Downloads\WhatsApp Image 2023-07-24 at 16.10.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Downloads\WhatsApp Image 2023-07-24 at 16.10.40.jpe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18799" cy="3112595"/>
                    </a:xfrm>
                    <a:prstGeom prst="rect">
                      <a:avLst/>
                    </a:prstGeom>
                    <a:noFill/>
                    <a:ln>
                      <a:solidFill>
                        <a:schemeClr val="tx1"/>
                      </a:solidFill>
                    </a:ln>
                  </pic:spPr>
                </pic:pic>
              </a:graphicData>
            </a:graphic>
          </wp:inline>
        </w:drawing>
      </w:r>
    </w:p>
    <w:p w:rsidR="00594EDF" w:rsidRDefault="00594EDF" w:rsidP="00594EDF">
      <w:pPr>
        <w:rPr>
          <w:rFonts w:ascii="Times New Roman" w:hAnsi="Times New Roman" w:cs="Times New Roman"/>
          <w:sz w:val="24"/>
          <w:lang w:eastAsia="id-ID"/>
        </w:rPr>
      </w:pPr>
      <w:r w:rsidRPr="00594EDF">
        <w:rPr>
          <w:rFonts w:ascii="Times New Roman" w:hAnsi="Times New Roman" w:cs="Times New Roman"/>
          <w:sz w:val="24"/>
          <w:lang w:eastAsia="id-ID"/>
        </w:rPr>
        <w:t>Sumber : Data diolah, 2023</w:t>
      </w:r>
    </w:p>
    <w:p w:rsidR="00DE3761" w:rsidRDefault="00DE3761" w:rsidP="00594EDF">
      <w:pPr>
        <w:rPr>
          <w:rFonts w:ascii="Times New Roman" w:hAnsi="Times New Roman" w:cs="Times New Roman"/>
          <w:sz w:val="24"/>
          <w:lang w:eastAsia="id-ID"/>
        </w:rPr>
      </w:pPr>
      <w:r>
        <w:rPr>
          <w:rFonts w:ascii="Times New Roman" w:hAnsi="Times New Roman" w:cs="Times New Roman"/>
          <w:sz w:val="24"/>
          <w:lang w:eastAsia="id-ID"/>
        </w:rPr>
        <w:t>Y</w:t>
      </w:r>
      <w:r>
        <w:rPr>
          <w:rFonts w:ascii="Times New Roman" w:hAnsi="Times New Roman" w:cs="Times New Roman"/>
          <w:sz w:val="24"/>
          <w:vertAlign w:val="subscript"/>
          <w:lang w:eastAsia="id-ID"/>
        </w:rPr>
        <w:t>it</w:t>
      </w:r>
      <w:r w:rsidRPr="00DE3761">
        <w:rPr>
          <w:rFonts w:ascii="Times New Roman" w:hAnsi="Times New Roman" w:cs="Times New Roman"/>
          <w:sz w:val="24"/>
          <w:lang w:eastAsia="id-ID"/>
        </w:rPr>
        <w:t xml:space="preserve"> = </w:t>
      </w:r>
      <w:r>
        <w:rPr>
          <w:rFonts w:ascii="Times New Roman" w:hAnsi="Times New Roman" w:cs="Times New Roman"/>
          <w:sz w:val="24"/>
          <w:lang w:eastAsia="id-ID"/>
        </w:rPr>
        <w:t>ɑ + β1X</w:t>
      </w:r>
      <w:r>
        <w:rPr>
          <w:rFonts w:ascii="Times New Roman" w:hAnsi="Times New Roman" w:cs="Times New Roman"/>
          <w:sz w:val="24"/>
          <w:vertAlign w:val="subscript"/>
          <w:lang w:eastAsia="id-ID"/>
        </w:rPr>
        <w:t>it</w:t>
      </w:r>
      <w:r>
        <w:rPr>
          <w:rFonts w:ascii="Times New Roman" w:hAnsi="Times New Roman" w:cs="Times New Roman"/>
          <w:sz w:val="24"/>
          <w:lang w:eastAsia="id-ID"/>
        </w:rPr>
        <w:t xml:space="preserve"> + β2X</w:t>
      </w:r>
      <w:r>
        <w:rPr>
          <w:rFonts w:ascii="Times New Roman" w:hAnsi="Times New Roman" w:cs="Times New Roman"/>
          <w:sz w:val="24"/>
          <w:vertAlign w:val="subscript"/>
          <w:lang w:eastAsia="id-ID"/>
        </w:rPr>
        <w:t>it</w:t>
      </w:r>
      <w:r>
        <w:rPr>
          <w:rFonts w:ascii="Times New Roman" w:hAnsi="Times New Roman" w:cs="Times New Roman"/>
          <w:sz w:val="24"/>
          <w:lang w:eastAsia="id-ID"/>
        </w:rPr>
        <w:t xml:space="preserve"> + β3X</w:t>
      </w:r>
      <w:r>
        <w:rPr>
          <w:rFonts w:ascii="Times New Roman" w:hAnsi="Times New Roman" w:cs="Times New Roman"/>
          <w:sz w:val="24"/>
          <w:vertAlign w:val="subscript"/>
          <w:lang w:eastAsia="id-ID"/>
        </w:rPr>
        <w:t>it</w:t>
      </w:r>
      <w:r>
        <w:rPr>
          <w:rFonts w:ascii="Times New Roman" w:hAnsi="Times New Roman" w:cs="Times New Roman"/>
          <w:sz w:val="24"/>
          <w:lang w:eastAsia="id-ID"/>
        </w:rPr>
        <w:t xml:space="preserve"> + βnX</w:t>
      </w:r>
      <w:r>
        <w:rPr>
          <w:rFonts w:ascii="Times New Roman" w:hAnsi="Times New Roman" w:cs="Times New Roman"/>
          <w:sz w:val="24"/>
          <w:vertAlign w:val="subscript"/>
          <w:lang w:eastAsia="id-ID"/>
        </w:rPr>
        <w:t>it</w:t>
      </w:r>
      <w:r>
        <w:rPr>
          <w:rFonts w:ascii="Times New Roman" w:hAnsi="Times New Roman" w:cs="Times New Roman"/>
          <w:sz w:val="24"/>
          <w:lang w:eastAsia="id-ID"/>
        </w:rPr>
        <w:t xml:space="preserve"> + … </w:t>
      </w:r>
      <w:r w:rsidR="00E83171">
        <w:rPr>
          <w:rFonts w:ascii="Times New Roman" w:hAnsi="Times New Roman" w:cs="Times New Roman"/>
          <w:sz w:val="24"/>
          <w:lang w:eastAsia="id-ID"/>
        </w:rPr>
        <w:t xml:space="preserve">+ </w:t>
      </w:r>
      <w:r>
        <w:rPr>
          <w:rFonts w:ascii="Times New Roman" w:hAnsi="Times New Roman" w:cs="Times New Roman"/>
          <w:sz w:val="24"/>
          <w:lang w:eastAsia="id-ID"/>
        </w:rPr>
        <w:t>Є</w:t>
      </w:r>
      <w:r>
        <w:rPr>
          <w:rFonts w:ascii="Times New Roman" w:hAnsi="Times New Roman" w:cs="Times New Roman"/>
          <w:sz w:val="24"/>
          <w:vertAlign w:val="subscript"/>
          <w:lang w:eastAsia="id-ID"/>
        </w:rPr>
        <w:t>it</w:t>
      </w:r>
      <w:r w:rsidRPr="00DE3761">
        <w:rPr>
          <w:rFonts w:ascii="Times New Roman" w:hAnsi="Times New Roman" w:cs="Times New Roman"/>
          <w:sz w:val="24"/>
          <w:lang w:eastAsia="id-ID"/>
        </w:rPr>
        <w:t xml:space="preserve"> Maka hasil dari uji regresi data panel dengan menggunkan REM adalah sebagai berikut:</w:t>
      </w:r>
    </w:p>
    <w:p w:rsidR="00E83171" w:rsidRDefault="00E83171" w:rsidP="00594EDF">
      <w:pPr>
        <w:rPr>
          <w:rFonts w:ascii="Times New Roman" w:hAnsi="Times New Roman" w:cs="Times New Roman"/>
          <w:sz w:val="24"/>
          <w:lang w:eastAsia="id-ID"/>
        </w:rPr>
      </w:pPr>
      <w:r>
        <w:rPr>
          <w:rFonts w:ascii="Times New Roman" w:hAnsi="Times New Roman" w:cs="Times New Roman"/>
          <w:sz w:val="24"/>
          <w:lang w:eastAsia="id-ID"/>
        </w:rPr>
        <w:t>Y</w:t>
      </w:r>
      <w:r w:rsidR="00EC3B7F">
        <w:rPr>
          <w:rFonts w:ascii="Times New Roman" w:hAnsi="Times New Roman" w:cs="Times New Roman"/>
          <w:sz w:val="24"/>
          <w:lang w:eastAsia="id-ID"/>
        </w:rPr>
        <w:t xml:space="preserve"> = 0,0318635 – 0,0460813 + 0,319445 + e</w:t>
      </w:r>
    </w:p>
    <w:p w:rsidR="006C7910" w:rsidRDefault="006C7910" w:rsidP="00594EDF">
      <w:pPr>
        <w:rPr>
          <w:rFonts w:ascii="Times New Roman" w:hAnsi="Times New Roman" w:cs="Times New Roman"/>
          <w:sz w:val="24"/>
          <w:lang w:eastAsia="id-ID"/>
        </w:rPr>
      </w:pPr>
    </w:p>
    <w:p w:rsidR="00A236CA" w:rsidRDefault="00A236CA" w:rsidP="00594EDF">
      <w:pPr>
        <w:rPr>
          <w:rFonts w:ascii="Times New Roman" w:hAnsi="Times New Roman" w:cs="Times New Roman"/>
          <w:sz w:val="24"/>
          <w:lang w:eastAsia="id-ID"/>
        </w:rPr>
      </w:pPr>
    </w:p>
    <w:p w:rsidR="00A236CA" w:rsidRDefault="00A236CA" w:rsidP="00594EDF">
      <w:pPr>
        <w:rPr>
          <w:rFonts w:ascii="Times New Roman" w:hAnsi="Times New Roman" w:cs="Times New Roman"/>
          <w:sz w:val="24"/>
          <w:lang w:eastAsia="id-ID"/>
        </w:rPr>
      </w:pPr>
    </w:p>
    <w:p w:rsidR="006C7910" w:rsidRPr="00DB0A9C" w:rsidRDefault="006C7910" w:rsidP="009B1B37">
      <w:pPr>
        <w:spacing w:line="480" w:lineRule="auto"/>
        <w:jc w:val="both"/>
        <w:rPr>
          <w:rFonts w:ascii="Times New Roman" w:hAnsi="Times New Roman" w:cs="Times New Roman"/>
          <w:b/>
          <w:sz w:val="24"/>
          <w:lang w:eastAsia="id-ID"/>
        </w:rPr>
      </w:pPr>
      <w:r w:rsidRPr="00DB0A9C">
        <w:rPr>
          <w:rFonts w:ascii="Times New Roman" w:hAnsi="Times New Roman" w:cs="Times New Roman"/>
          <w:b/>
          <w:sz w:val="24"/>
          <w:lang w:eastAsia="id-ID"/>
        </w:rPr>
        <w:lastRenderedPageBreak/>
        <w:t>4.3</w:t>
      </w:r>
      <w:r w:rsidRPr="00DB0A9C">
        <w:rPr>
          <w:rFonts w:ascii="Times New Roman" w:hAnsi="Times New Roman" w:cs="Times New Roman"/>
          <w:b/>
          <w:sz w:val="24"/>
          <w:lang w:eastAsia="id-ID"/>
        </w:rPr>
        <w:tab/>
        <w:t>Pembahasan</w:t>
      </w:r>
    </w:p>
    <w:p w:rsidR="006C7910" w:rsidRPr="00DB0A9C" w:rsidRDefault="00EB7902" w:rsidP="009B1B37">
      <w:pPr>
        <w:spacing w:line="480" w:lineRule="auto"/>
        <w:ind w:left="709" w:hanging="709"/>
        <w:jc w:val="both"/>
        <w:rPr>
          <w:rFonts w:ascii="Times New Roman" w:hAnsi="Times New Roman" w:cs="Times New Roman"/>
          <w:b/>
          <w:sz w:val="24"/>
          <w:lang w:eastAsia="id-ID"/>
        </w:rPr>
      </w:pPr>
      <w:r w:rsidRPr="00DB0A9C">
        <w:rPr>
          <w:rFonts w:ascii="Times New Roman" w:hAnsi="Times New Roman" w:cs="Times New Roman"/>
          <w:b/>
          <w:sz w:val="24"/>
          <w:lang w:eastAsia="id-ID"/>
        </w:rPr>
        <w:t>4.3.1</w:t>
      </w:r>
      <w:r w:rsidRPr="00DB0A9C">
        <w:rPr>
          <w:rFonts w:ascii="Times New Roman" w:hAnsi="Times New Roman" w:cs="Times New Roman"/>
          <w:b/>
          <w:sz w:val="24"/>
          <w:lang w:eastAsia="id-ID"/>
        </w:rPr>
        <w:tab/>
        <w:t xml:space="preserve">Pengaruh </w:t>
      </w:r>
      <w:r w:rsidRPr="008F5DD5">
        <w:rPr>
          <w:rFonts w:ascii="Times New Roman" w:hAnsi="Times New Roman" w:cs="Times New Roman"/>
          <w:b/>
          <w:i/>
          <w:sz w:val="24"/>
          <w:lang w:eastAsia="id-ID"/>
        </w:rPr>
        <w:t>Loan to Deposit Ratio</w:t>
      </w:r>
      <w:r w:rsidRPr="00DB0A9C">
        <w:rPr>
          <w:rFonts w:ascii="Times New Roman" w:hAnsi="Times New Roman" w:cs="Times New Roman"/>
          <w:b/>
          <w:sz w:val="24"/>
          <w:lang w:eastAsia="id-ID"/>
        </w:rPr>
        <w:t xml:space="preserve"> (LDR) Ter</w:t>
      </w:r>
      <w:r w:rsidR="00B90CC1" w:rsidRPr="00DB0A9C">
        <w:rPr>
          <w:rFonts w:ascii="Times New Roman" w:hAnsi="Times New Roman" w:cs="Times New Roman"/>
          <w:b/>
          <w:sz w:val="24"/>
          <w:lang w:eastAsia="id-ID"/>
        </w:rPr>
        <w:t xml:space="preserve">hadap </w:t>
      </w:r>
      <w:r w:rsidR="00B90CC1" w:rsidRPr="008F5DD5">
        <w:rPr>
          <w:rFonts w:ascii="Times New Roman" w:hAnsi="Times New Roman" w:cs="Times New Roman"/>
          <w:b/>
          <w:i/>
          <w:sz w:val="24"/>
          <w:lang w:eastAsia="id-ID"/>
        </w:rPr>
        <w:t>Return On Asset</w:t>
      </w:r>
      <w:r w:rsidR="008F5DD5">
        <w:rPr>
          <w:rFonts w:ascii="Times New Roman" w:hAnsi="Times New Roman" w:cs="Times New Roman"/>
          <w:b/>
          <w:i/>
          <w:sz w:val="24"/>
          <w:lang w:eastAsia="id-ID"/>
        </w:rPr>
        <w:t xml:space="preserve"> </w:t>
      </w:r>
      <w:r w:rsidR="008F5DD5">
        <w:rPr>
          <w:rFonts w:ascii="Times New Roman" w:hAnsi="Times New Roman" w:cs="Times New Roman"/>
          <w:b/>
          <w:sz w:val="24"/>
          <w:lang w:eastAsia="id-ID"/>
        </w:rPr>
        <w:t>(ROA)</w:t>
      </w:r>
      <w:r w:rsidR="00B90CC1" w:rsidRPr="00DB0A9C">
        <w:rPr>
          <w:rFonts w:ascii="Times New Roman" w:hAnsi="Times New Roman" w:cs="Times New Roman"/>
          <w:b/>
          <w:sz w:val="24"/>
          <w:lang w:eastAsia="id-ID"/>
        </w:rPr>
        <w:t xml:space="preserve"> Pada Perusahaan Perbankan yang Terdaftar di Bursa Efek Indonesia (BEI).</w:t>
      </w:r>
    </w:p>
    <w:p w:rsidR="00ED1C0F" w:rsidRPr="00B20300" w:rsidRDefault="00A863A6" w:rsidP="009B1B37">
      <w:pPr>
        <w:spacing w:line="480" w:lineRule="auto"/>
        <w:jc w:val="both"/>
        <w:rPr>
          <w:rFonts w:ascii="Times New Roman" w:hAnsi="Times New Roman" w:cs="Times New Roman"/>
          <w:sz w:val="24"/>
          <w:szCs w:val="24"/>
        </w:rPr>
      </w:pPr>
      <w:r>
        <w:rPr>
          <w:rFonts w:ascii="Times New Roman" w:hAnsi="Times New Roman" w:cs="Times New Roman"/>
          <w:sz w:val="24"/>
          <w:lang w:eastAsia="id-ID"/>
        </w:rPr>
        <w:tab/>
      </w:r>
      <w:r w:rsidR="00ED1C0F" w:rsidRPr="00B20300">
        <w:rPr>
          <w:rFonts w:ascii="Times New Roman" w:hAnsi="Times New Roman" w:cs="Times New Roman"/>
          <w:sz w:val="24"/>
          <w:szCs w:val="24"/>
        </w:rPr>
        <w:t>Berdasarkan h</w:t>
      </w:r>
      <w:r w:rsidR="008337E2">
        <w:rPr>
          <w:rFonts w:ascii="Times New Roman" w:hAnsi="Times New Roman" w:cs="Times New Roman"/>
          <w:sz w:val="24"/>
          <w:szCs w:val="24"/>
        </w:rPr>
        <w:t xml:space="preserve">asil regresi data panel metode </w:t>
      </w:r>
      <w:bookmarkStart w:id="0" w:name="_GoBack"/>
      <w:bookmarkEnd w:id="0"/>
      <w:r w:rsidR="00ED1C0F" w:rsidRPr="00B20300">
        <w:rPr>
          <w:rFonts w:ascii="Times New Roman" w:hAnsi="Times New Roman" w:cs="Times New Roman"/>
          <w:sz w:val="24"/>
          <w:szCs w:val="24"/>
        </w:rPr>
        <w:t xml:space="preserve">Random Effect Model (REM) dapat dilihat pada tabel  4.10, diketahui bahwa nilai koefisien variabel </w:t>
      </w:r>
      <w:r w:rsidR="00ED1C0F" w:rsidRPr="00B20300">
        <w:rPr>
          <w:rFonts w:ascii="Times New Roman" w:hAnsi="Times New Roman" w:cs="Times New Roman"/>
          <w:i/>
          <w:sz w:val="24"/>
          <w:szCs w:val="24"/>
        </w:rPr>
        <w:t>L</w:t>
      </w:r>
      <w:r w:rsidR="00B20300" w:rsidRPr="00B20300">
        <w:rPr>
          <w:rFonts w:ascii="Times New Roman" w:hAnsi="Times New Roman" w:cs="Times New Roman"/>
          <w:i/>
          <w:sz w:val="24"/>
          <w:szCs w:val="24"/>
        </w:rPr>
        <w:t xml:space="preserve">oan to </w:t>
      </w:r>
      <w:r w:rsidR="00ED1C0F" w:rsidRPr="00B20300">
        <w:rPr>
          <w:rFonts w:ascii="Times New Roman" w:hAnsi="Times New Roman" w:cs="Times New Roman"/>
          <w:i/>
          <w:sz w:val="24"/>
          <w:szCs w:val="24"/>
        </w:rPr>
        <w:t>D</w:t>
      </w:r>
      <w:r w:rsidR="00B20300" w:rsidRPr="00B20300">
        <w:rPr>
          <w:rFonts w:ascii="Times New Roman" w:hAnsi="Times New Roman" w:cs="Times New Roman"/>
          <w:i/>
          <w:sz w:val="24"/>
          <w:szCs w:val="24"/>
        </w:rPr>
        <w:t xml:space="preserve">eposit </w:t>
      </w:r>
      <w:r w:rsidR="00ED1C0F" w:rsidRPr="00B20300">
        <w:rPr>
          <w:rFonts w:ascii="Times New Roman" w:hAnsi="Times New Roman" w:cs="Times New Roman"/>
          <w:i/>
          <w:sz w:val="24"/>
          <w:szCs w:val="24"/>
        </w:rPr>
        <w:t>R</w:t>
      </w:r>
      <w:r w:rsidR="00B20300" w:rsidRPr="00B20300">
        <w:rPr>
          <w:rFonts w:ascii="Times New Roman" w:hAnsi="Times New Roman" w:cs="Times New Roman"/>
          <w:i/>
          <w:sz w:val="24"/>
          <w:szCs w:val="24"/>
        </w:rPr>
        <w:t>atio</w:t>
      </w:r>
      <w:r w:rsidR="00B20300">
        <w:rPr>
          <w:rFonts w:ascii="Times New Roman" w:hAnsi="Times New Roman" w:cs="Times New Roman"/>
          <w:sz w:val="24"/>
          <w:szCs w:val="24"/>
        </w:rPr>
        <w:t xml:space="preserve"> (LDR)</w:t>
      </w:r>
      <w:r w:rsidR="00ED1C0F" w:rsidRPr="00B20300">
        <w:rPr>
          <w:rFonts w:ascii="Times New Roman" w:hAnsi="Times New Roman" w:cs="Times New Roman"/>
          <w:sz w:val="24"/>
          <w:szCs w:val="24"/>
        </w:rPr>
        <w:t xml:space="preserve"> sebesar – 0,0460813, menunjukan bahwa setiap kenaikan variabel </w:t>
      </w:r>
      <w:r w:rsidR="00B20300" w:rsidRPr="00B20300">
        <w:rPr>
          <w:rFonts w:ascii="Times New Roman" w:hAnsi="Times New Roman" w:cs="Times New Roman"/>
          <w:i/>
          <w:sz w:val="24"/>
          <w:szCs w:val="24"/>
        </w:rPr>
        <w:t>Loan to Deposit Ratio</w:t>
      </w:r>
      <w:r w:rsidR="00B20300">
        <w:rPr>
          <w:rFonts w:ascii="Times New Roman" w:hAnsi="Times New Roman" w:cs="Times New Roman"/>
          <w:sz w:val="24"/>
          <w:szCs w:val="24"/>
        </w:rPr>
        <w:t xml:space="preserve"> (LDR)</w:t>
      </w:r>
      <w:r w:rsidR="00B20300" w:rsidRPr="00B20300">
        <w:rPr>
          <w:rFonts w:ascii="Times New Roman" w:hAnsi="Times New Roman" w:cs="Times New Roman"/>
          <w:sz w:val="24"/>
          <w:szCs w:val="24"/>
        </w:rPr>
        <w:t xml:space="preserve"> </w:t>
      </w:r>
      <w:r w:rsidR="00ED1C0F" w:rsidRPr="00B20300">
        <w:rPr>
          <w:rFonts w:ascii="Times New Roman" w:hAnsi="Times New Roman" w:cs="Times New Roman"/>
          <w:sz w:val="24"/>
          <w:szCs w:val="24"/>
        </w:rPr>
        <w:t xml:space="preserve"> sebesar 1% maka kemung</w:t>
      </w:r>
      <w:r w:rsidR="00D507E5">
        <w:rPr>
          <w:rFonts w:ascii="Times New Roman" w:hAnsi="Times New Roman" w:cs="Times New Roman"/>
          <w:sz w:val="24"/>
          <w:szCs w:val="24"/>
        </w:rPr>
        <w:t xml:space="preserve">kinan perusahaan mengalami </w:t>
      </w:r>
      <w:r w:rsidR="00D507E5" w:rsidRPr="00D507E5">
        <w:rPr>
          <w:rFonts w:ascii="Times New Roman" w:hAnsi="Times New Roman" w:cs="Times New Roman"/>
          <w:i/>
          <w:sz w:val="24"/>
          <w:szCs w:val="24"/>
        </w:rPr>
        <w:t>Return on Asset</w:t>
      </w:r>
      <w:r w:rsidR="00D507E5">
        <w:rPr>
          <w:rFonts w:ascii="Times New Roman" w:hAnsi="Times New Roman" w:cs="Times New Roman"/>
          <w:sz w:val="24"/>
          <w:szCs w:val="24"/>
        </w:rPr>
        <w:t xml:space="preserve"> (ROA) </w:t>
      </w:r>
      <w:r w:rsidR="00ED1C0F" w:rsidRPr="00B20300">
        <w:rPr>
          <w:rFonts w:ascii="Times New Roman" w:hAnsi="Times New Roman" w:cs="Times New Roman"/>
          <w:sz w:val="24"/>
          <w:szCs w:val="24"/>
        </w:rPr>
        <w:t>sebesar 4,6%.  hal ini berarti variabel X1 berpengaruh negatif terhadap variabel Y. selanjutnya be</w:t>
      </w:r>
      <w:r w:rsidR="008337E2">
        <w:rPr>
          <w:rFonts w:ascii="Times New Roman" w:hAnsi="Times New Roman" w:cs="Times New Roman"/>
          <w:sz w:val="24"/>
          <w:szCs w:val="24"/>
        </w:rPr>
        <w:t>rdasarkan P</w:t>
      </w:r>
      <w:r w:rsidR="00ED1C0F" w:rsidRPr="00B20300">
        <w:rPr>
          <w:rFonts w:ascii="Times New Roman" w:hAnsi="Times New Roman" w:cs="Times New Roman"/>
          <w:sz w:val="24"/>
          <w:szCs w:val="24"/>
        </w:rPr>
        <w:t xml:space="preserve">rob&gt;|z|X1 adalah 0,000 &lt;  0,05, maka H0 ditolak dan H1 diterima yang artinya variabel X1 berpengaruh negatif dan signifikan terhadap variabel Y. </w:t>
      </w:r>
    </w:p>
    <w:p w:rsidR="00ED1C0F" w:rsidRPr="00B20300" w:rsidRDefault="00ED1C0F" w:rsidP="009B1B37">
      <w:pPr>
        <w:spacing w:line="480" w:lineRule="auto"/>
        <w:ind w:firstLine="720"/>
        <w:jc w:val="both"/>
        <w:rPr>
          <w:rFonts w:ascii="Times New Roman" w:hAnsi="Times New Roman" w:cs="Times New Roman"/>
          <w:sz w:val="24"/>
          <w:szCs w:val="24"/>
        </w:rPr>
      </w:pPr>
      <w:r w:rsidRPr="00B20300">
        <w:rPr>
          <w:rFonts w:ascii="Times New Roman" w:hAnsi="Times New Roman" w:cs="Times New Roman"/>
          <w:sz w:val="24"/>
          <w:szCs w:val="24"/>
        </w:rPr>
        <w:t xml:space="preserve">Hasil Penelitian ini dapat menjawab sub bab 2.10 Hipotesis Penelitian, dimana H1: </w:t>
      </w:r>
      <w:r w:rsidRPr="00B20300">
        <w:rPr>
          <w:rFonts w:ascii="Times New Roman" w:hAnsi="Times New Roman" w:cs="Times New Roman"/>
          <w:i/>
          <w:sz w:val="24"/>
          <w:szCs w:val="24"/>
        </w:rPr>
        <w:t xml:space="preserve">Loan to Deposit Ratio </w:t>
      </w:r>
      <w:r w:rsidRPr="006842EA">
        <w:rPr>
          <w:rFonts w:ascii="Times New Roman" w:hAnsi="Times New Roman" w:cs="Times New Roman"/>
          <w:sz w:val="24"/>
          <w:szCs w:val="24"/>
        </w:rPr>
        <w:t>(LDR)</w:t>
      </w:r>
      <w:r w:rsidRPr="00B20300">
        <w:rPr>
          <w:rFonts w:ascii="Times New Roman" w:hAnsi="Times New Roman" w:cs="Times New Roman"/>
          <w:sz w:val="24"/>
          <w:szCs w:val="24"/>
        </w:rPr>
        <w:t xml:space="preserve"> berpengaruh terhadap </w:t>
      </w:r>
      <w:r w:rsidRPr="00B20300">
        <w:rPr>
          <w:rFonts w:ascii="Times New Roman" w:hAnsi="Times New Roman" w:cs="Times New Roman"/>
          <w:i/>
          <w:sz w:val="24"/>
          <w:szCs w:val="24"/>
        </w:rPr>
        <w:t>Return On Asset (ROA)</w:t>
      </w:r>
      <w:r w:rsidRPr="00B20300">
        <w:rPr>
          <w:rFonts w:ascii="Times New Roman" w:hAnsi="Times New Roman" w:cs="Times New Roman"/>
          <w:sz w:val="24"/>
          <w:szCs w:val="24"/>
        </w:rPr>
        <w:t xml:space="preserve">, maka pada penelitian ini untuk H1 diterima. Dapat disimpulkan bahwa variabel </w:t>
      </w:r>
      <w:r w:rsidR="00D507E5" w:rsidRPr="00B20300">
        <w:rPr>
          <w:rFonts w:ascii="Times New Roman" w:hAnsi="Times New Roman" w:cs="Times New Roman"/>
          <w:i/>
          <w:sz w:val="24"/>
          <w:szCs w:val="24"/>
        </w:rPr>
        <w:t>Loan to Deposit Ratio</w:t>
      </w:r>
      <w:r w:rsidR="00D507E5">
        <w:rPr>
          <w:rFonts w:ascii="Times New Roman" w:hAnsi="Times New Roman" w:cs="Times New Roman"/>
          <w:sz w:val="24"/>
          <w:szCs w:val="24"/>
        </w:rPr>
        <w:t xml:space="preserve"> (LDR)</w:t>
      </w:r>
      <w:r w:rsidR="00D507E5" w:rsidRPr="00B20300">
        <w:rPr>
          <w:rFonts w:ascii="Times New Roman" w:hAnsi="Times New Roman" w:cs="Times New Roman"/>
          <w:sz w:val="24"/>
          <w:szCs w:val="24"/>
        </w:rPr>
        <w:t xml:space="preserve"> </w:t>
      </w:r>
      <w:r w:rsidRPr="00B20300">
        <w:rPr>
          <w:rFonts w:ascii="Times New Roman" w:hAnsi="Times New Roman" w:cs="Times New Roman"/>
          <w:sz w:val="24"/>
          <w:szCs w:val="24"/>
        </w:rPr>
        <w:t xml:space="preserve"> secara parsial memiliki pengaruh negatif dan signifikan terhadap </w:t>
      </w:r>
      <w:r w:rsidR="00E32040" w:rsidRPr="00D507E5">
        <w:rPr>
          <w:rFonts w:ascii="Times New Roman" w:hAnsi="Times New Roman" w:cs="Times New Roman"/>
          <w:i/>
          <w:sz w:val="24"/>
          <w:szCs w:val="24"/>
        </w:rPr>
        <w:t>Return on Asset</w:t>
      </w:r>
      <w:r w:rsidR="00E32040">
        <w:rPr>
          <w:rFonts w:ascii="Times New Roman" w:hAnsi="Times New Roman" w:cs="Times New Roman"/>
          <w:sz w:val="24"/>
          <w:szCs w:val="24"/>
        </w:rPr>
        <w:t xml:space="preserve"> (ROA) </w:t>
      </w:r>
      <w:r w:rsidRPr="00B20300">
        <w:rPr>
          <w:rFonts w:ascii="Times New Roman" w:hAnsi="Times New Roman" w:cs="Times New Roman"/>
          <w:sz w:val="24"/>
          <w:szCs w:val="24"/>
        </w:rPr>
        <w:t>pada perusahaan perbankan yang terdaftar di Bursa Efek Indonesia (BEI)  periode 2018 – 2022.</w:t>
      </w:r>
    </w:p>
    <w:p w:rsidR="00ED1C0F" w:rsidRPr="006221A3" w:rsidRDefault="00ED1C0F" w:rsidP="009B1B37">
      <w:pPr>
        <w:spacing w:line="480" w:lineRule="auto"/>
        <w:ind w:firstLine="720"/>
        <w:jc w:val="both"/>
        <w:rPr>
          <w:rFonts w:ascii="Times New Roman" w:hAnsi="Times New Roman" w:cs="Times New Roman"/>
          <w:sz w:val="24"/>
          <w:szCs w:val="24"/>
        </w:rPr>
      </w:pPr>
      <w:r w:rsidRPr="006221A3">
        <w:rPr>
          <w:rFonts w:ascii="Times New Roman" w:hAnsi="Times New Roman" w:cs="Times New Roman"/>
          <w:sz w:val="24"/>
          <w:szCs w:val="24"/>
        </w:rPr>
        <w:t xml:space="preserve">Hasil penelitian ini tidak sesuai dengan hasil penelitian yang dilakukan oleh </w:t>
      </w:r>
      <w:r w:rsidRPr="006221A3">
        <w:rPr>
          <w:rFonts w:ascii="Times New Roman" w:hAnsi="Times New Roman" w:cs="Times New Roman"/>
          <w:sz w:val="24"/>
          <w:szCs w:val="24"/>
        </w:rPr>
        <w:fldChar w:fldCharType="begin" w:fldLock="1"/>
      </w:r>
      <w:r w:rsidRPr="006221A3">
        <w:rPr>
          <w:rFonts w:ascii="Times New Roman" w:hAnsi="Times New Roman" w:cs="Times New Roman"/>
          <w:sz w:val="24"/>
          <w:szCs w:val="24"/>
        </w:rPr>
        <w:instrText>ADDIN CSL_CITATION {"citationItems":[{"id":"ITEM-1","itemData":{"ISSN":"2303-1174","abstract":"… Non Performing Loan (NPL) Non Performing Loan (NPL) merupakan kredit bermasalah atau kredit macet pada suatu bank … H2= Non Performing Loan (NPL) diduga tidak berpengaruh signifikan terhadap Return On Asset (ROA) …","author":[{"dropping-particle":"","family":"Rembet","given":"Watung E Claudia","non-dropping-particle":"","parse-names":false,"suffix":""},{"dropping-particle":"","family":"Baramuli","given":"Dedy N","non-dropping-particle":"","parse-names":false,"suffix":""}],"container-title":"Jurnal EMBA: Jurnal Riset Ekonomi, Manajemen, Bisnis dan Akuntansi","id":"ITEM-1","issue":"3","issued":{"date-parts":[["2020"]]},"page":"342-352","title":"Pengaruh Car, Npl, Nim, Bopo, Ldr Terhadap Return on Asset (Roa) (Studi Pada Bank Umum Swasta Nasional Devisa Yang Terdaftar Di Bei)","type":"article-journal","volume":"8"},"uris":["http://www.mendeley.com/documents/?uuid=3d4e8934-2eee-411f-a2e3-85ba7f057da5"]}],"mendeley":{"formattedCitation":"(Rembet &amp; Baramuli, 2020)","plainTextFormattedCitation":"(Rembet &amp; Baramuli, 2020)","previouslyFormattedCitation":"(Rembet &amp; Baramuli, 2020)"},"properties":{"noteIndex":0},"schema":"https://github.com/citation-style-language/schema/raw/master/csl-citation.json"}</w:instrText>
      </w:r>
      <w:r w:rsidRPr="006221A3">
        <w:rPr>
          <w:rFonts w:ascii="Times New Roman" w:hAnsi="Times New Roman" w:cs="Times New Roman"/>
          <w:sz w:val="24"/>
          <w:szCs w:val="24"/>
        </w:rPr>
        <w:fldChar w:fldCharType="separate"/>
      </w:r>
      <w:r w:rsidRPr="006221A3">
        <w:rPr>
          <w:rFonts w:ascii="Times New Roman" w:hAnsi="Times New Roman" w:cs="Times New Roman"/>
          <w:noProof/>
          <w:sz w:val="24"/>
          <w:szCs w:val="24"/>
        </w:rPr>
        <w:t>(Rembet &amp; Baramuli, 2020)</w:t>
      </w:r>
      <w:r w:rsidRPr="006221A3">
        <w:rPr>
          <w:rFonts w:ascii="Times New Roman" w:hAnsi="Times New Roman" w:cs="Times New Roman"/>
          <w:sz w:val="24"/>
          <w:szCs w:val="24"/>
        </w:rPr>
        <w:fldChar w:fldCharType="end"/>
      </w:r>
      <w:r w:rsidRPr="006221A3">
        <w:rPr>
          <w:rFonts w:ascii="Times New Roman" w:hAnsi="Times New Roman" w:cs="Times New Roman"/>
          <w:sz w:val="24"/>
          <w:szCs w:val="24"/>
        </w:rPr>
        <w:t xml:space="preserve">, </w:t>
      </w:r>
      <w:r w:rsidRPr="006221A3">
        <w:rPr>
          <w:rFonts w:ascii="Times New Roman" w:hAnsi="Times New Roman" w:cs="Times New Roman"/>
          <w:spacing w:val="-12"/>
          <w:sz w:val="24"/>
          <w:szCs w:val="24"/>
        </w:rPr>
        <w:fldChar w:fldCharType="begin" w:fldLock="1"/>
      </w:r>
      <w:r w:rsidRPr="006221A3">
        <w:rPr>
          <w:rFonts w:ascii="Times New Roman" w:hAnsi="Times New Roman" w:cs="Times New Roman"/>
          <w:spacing w:val="-12"/>
          <w:sz w:val="24"/>
          <w:szCs w:val="24"/>
        </w:rPr>
        <w:instrText>ADDIN CSL_CITATION {"citationItems":[{"id":"ITEM-1","itemData":{"DOI":"10.23887/jjpe.v11i1.20162","ISSN":"2599-1418","abstract":"Penelitian ini bertujuan untuk mengetahui pengaruh (CAR) terhadap (ROA), untuk mengetahui  pengaruh  (LDR)  terhadap  (ROA),  untuk  mengetahui  pengaruh  (NIM) terhadap (ROA), dan untuk mengetahui pengaruh (CAR), (LDR), dan (NIM) terhadap (ROA) pada bank umum swasta nasional devisa yang terdaftar di Bursa Efek Indonesia 2015-2017. Penelitian ini menggunakan rancangan penelitian kuantitatif kausal. Subjek penelitian ini adalah Bank Umum Swastra Nasional Devisa periode 2015-2017. Objek dalam penelitian ini adalah laporan keuangan yang terdiri dari ratio-ratio antara lain CAR, LDR,  NIM  dan  ROA  tahun  2015-2017.  Data  yang  diperoleh  dikumpulkan  dengan menggunakan metode dokumentasi. Hasil penelitian ini adalah terdapat pengaruh CAR terhadap ROA. Hal ini dapat dilihat dari hasil yang menunjukkan nilai t sebesar 2,108 dengan p-value = 0,040 &lt; α = 0,05. Terdapat pengaruh LDR terhadap ROA. Hal ini dapat dilihat dari hasil yang menunjukkan nilai t sebesar 2,829 dengan p-value = 0,000 &lt; α = 0,05. Terdapat pengaruh NIM terhadap ROA. Hal ini dapat dilihat dari hasil yang menunjukkan nilai t 2,200 dengan p-value = 0,032 &lt; α = 0,05. Terdapat pengaruh CAR, LDR, dan NIM terhadap ROA. Hal ini dapat dilihat dari hasil yang menunjukkan nilai F hitung sebesar 42,492 dengan p-value = 0,000 &lt; α = 0,05.","author":[{"dropping-particle":"","family":"Irfan","given":"Moch","non-dropping-particle":"","parse-names":false,"suffix":""},{"dropping-particle":"","family":"Suwendra","given":"I Wayan","non-dropping-particle":"","parse-names":false,"suffix":""},{"dropping-particle":"","family":"Sujana","given":"I Nyoman","non-dropping-particle":"","parse-names":false,"suffix":""}],"container-title":"Jurnal Pendidikan Ekonomi Undiksha","id":"ITEM-1","issue":"1","issued":{"date-parts":[["2019"]]},"page":"296","title":"Pengaruh Capital Adequacy Ratio (Car), Loan To Deposit Ratio (Ldr), Dan Net Interest Margin (Nim) Terhadap Return on Assets (Roa) Pada Bank Umum Swasta Nasional Devisa Yang Terdaftar Di Bursa Efek Indonesia Tahun 2015-2017","type":"article-journal","volume":"11"},"uris":["http://www.mendeley.com/documents/?uuid=18f73db2-3e99-48bb-b454-408714ae7b09"]}],"mendeley":{"formattedCitation":"(Irfan et al., 2019)","plainTextFormattedCitation":"(Irfan et al., 2019)","previouslyFormattedCitation":"(Irfan et al., 2019)"},"properties":{"noteIndex":0},"schema":"https://github.com/citation-style-language/schema/raw/master/csl-citation.json"}</w:instrText>
      </w:r>
      <w:r w:rsidRPr="006221A3">
        <w:rPr>
          <w:rFonts w:ascii="Times New Roman" w:hAnsi="Times New Roman" w:cs="Times New Roman"/>
          <w:spacing w:val="-12"/>
          <w:sz w:val="24"/>
          <w:szCs w:val="24"/>
        </w:rPr>
        <w:fldChar w:fldCharType="separate"/>
      </w:r>
      <w:r w:rsidRPr="006221A3">
        <w:rPr>
          <w:rFonts w:ascii="Times New Roman" w:hAnsi="Times New Roman" w:cs="Times New Roman"/>
          <w:noProof/>
          <w:spacing w:val="-12"/>
          <w:sz w:val="24"/>
          <w:szCs w:val="24"/>
        </w:rPr>
        <w:t>(Irfan et al., 2019)</w:t>
      </w:r>
      <w:r w:rsidRPr="006221A3">
        <w:rPr>
          <w:rFonts w:ascii="Times New Roman" w:hAnsi="Times New Roman" w:cs="Times New Roman"/>
          <w:spacing w:val="-12"/>
          <w:sz w:val="24"/>
          <w:szCs w:val="24"/>
        </w:rPr>
        <w:fldChar w:fldCharType="end"/>
      </w:r>
      <w:r w:rsidRPr="006221A3">
        <w:rPr>
          <w:rFonts w:ascii="Times New Roman" w:hAnsi="Times New Roman" w:cs="Times New Roman"/>
          <w:spacing w:val="-12"/>
          <w:sz w:val="24"/>
          <w:szCs w:val="24"/>
        </w:rPr>
        <w:t xml:space="preserve">, </w:t>
      </w:r>
      <w:r w:rsidRPr="006221A3">
        <w:rPr>
          <w:rFonts w:ascii="Times New Roman" w:hAnsi="Times New Roman" w:cs="Times New Roman"/>
          <w:sz w:val="24"/>
          <w:szCs w:val="24"/>
        </w:rPr>
        <w:fldChar w:fldCharType="begin" w:fldLock="1"/>
      </w:r>
      <w:r w:rsidRPr="006221A3">
        <w:rPr>
          <w:rFonts w:ascii="Times New Roman" w:hAnsi="Times New Roman" w:cs="Times New Roman"/>
          <w:sz w:val="24"/>
          <w:szCs w:val="24"/>
        </w:rPr>
        <w:instrText>ADDIN CSL_CITATION {"citationItems":[{"id":"ITEM-1","itemData":{"abstract":"Penelitian ini bertujuan untuk melihat pengaruh CAR (Capital Adequacy Ratio) , LDR (Loan to Deposit Ratio), NIM (Net Interest Margin), BOPO (Beban Operasional Pendapatan Operasional ) terhadap ROA (Return on Assets) pada sektor perbankan Bursa Efek Indonesia tahun 2016-2018.Sumber data berasal dari laporan keuangan perusahaan dan Indonesian Capital Market Directory (ICMD) perusahaan sektor perbankan yang terdaftar di Bursa Efek Indonesia.Populasi yang digunakan pada penelitian ini yaitu perusahaan yang memiliki laporan keuangan lengkap 3 tahun berturut. Metode pengambilan sampel sebanyak 33 perusahaan perbankan dengan sampel yang didapat sebanyak 99 data. Teknik analisis yang digunakan adalah analisis regresi linier berganda dengan pengujian asumsi klasik menggunakan program SPSS Statistical Paskagerfor Social Science. Hasil penelitian ini secara parsial menunjukkan bahwa CAR berpengaruh positif terhadap ROA, LDR berpengaruh positif terhadap ROA, NIM berpengaruh negatif terhadap ROA dan BOPO berpengaruh negatif terhadap ROA, sedangkan secara simultan CAR, LDR, NIM, BOPO berpengaruh terhadap ROA.","author":[{"dropping-particle":"","family":"Setya","given":"Muhammad","non-dropping-particle":"","parse-names":false,"suffix":""},{"dropping-particle":"","family":"Sari","given":"Pratama","non-dropping-particle":"","parse-names":false,"suffix":""},{"dropping-particle":"","family":"Afriansyah","given":"Riki","non-dropping-particle":"","parse-names":false,"suffix":""},{"dropping-particle":"","family":"Icmd","given":"Directory","non-dropping-particle":"","parse-names":false,"suffix":""},{"dropping-particle":"","family":"Efek","given":"Bursa","non-dropping-particle":"","parse-names":false,"suffix":""},{"dropping-particle":"","family":"Populasi","given":"Indonesia","non-dropping-particle":"","parse-names":false,"suffix":""}],"container-title":"Jurnal Akuntansi dan Keuangan","id":"ITEM-1","issue":"1","issued":{"date-parts":[["2021"]]},"page":"118-126","title":"Pengaruh car , ldr , nim , bopo terhadap roa pada sektor perbankan go public di bei 2016-2018 to Deposit Ratio ), NIM ( Net Interest Margin ), BOPO ( Beban Operasional Pendapatan","type":"article-journal","volume":"17"},"uris":["http://www.mendeley.com/documents/?uuid=9d0ea296-4f0b-4d0f-a089-e2e0feaf4a20"]}],"mendeley":{"formattedCitation":"(Setya et al., 2021)","plainTextFormattedCitation":"(Setya et al., 2021)","previouslyFormattedCitation":"(Setya et al., 2021)"},"properties":{"noteIndex":0},"schema":"https://github.com/citation-style-language/schema/raw/master/csl-citation.json"}</w:instrText>
      </w:r>
      <w:r w:rsidRPr="006221A3">
        <w:rPr>
          <w:rFonts w:ascii="Times New Roman" w:hAnsi="Times New Roman" w:cs="Times New Roman"/>
          <w:sz w:val="24"/>
          <w:szCs w:val="24"/>
        </w:rPr>
        <w:fldChar w:fldCharType="separate"/>
      </w:r>
      <w:r w:rsidRPr="006221A3">
        <w:rPr>
          <w:rFonts w:ascii="Times New Roman" w:hAnsi="Times New Roman" w:cs="Times New Roman"/>
          <w:noProof/>
          <w:sz w:val="24"/>
          <w:szCs w:val="24"/>
        </w:rPr>
        <w:t>(Setya et al., 2021)</w:t>
      </w:r>
      <w:r w:rsidRPr="006221A3">
        <w:rPr>
          <w:rFonts w:ascii="Times New Roman" w:hAnsi="Times New Roman" w:cs="Times New Roman"/>
          <w:sz w:val="24"/>
          <w:szCs w:val="24"/>
        </w:rPr>
        <w:fldChar w:fldCharType="end"/>
      </w:r>
      <w:r w:rsidRPr="006221A3">
        <w:rPr>
          <w:rFonts w:ascii="Times New Roman" w:hAnsi="Times New Roman" w:cs="Times New Roman"/>
          <w:sz w:val="24"/>
          <w:szCs w:val="24"/>
        </w:rPr>
        <w:t xml:space="preserve">, </w:t>
      </w:r>
      <w:r w:rsidRPr="006221A3">
        <w:rPr>
          <w:rFonts w:ascii="Times New Roman" w:hAnsi="Times New Roman" w:cs="Times New Roman"/>
          <w:sz w:val="24"/>
          <w:szCs w:val="24"/>
        </w:rPr>
        <w:fldChar w:fldCharType="begin" w:fldLock="1"/>
      </w:r>
      <w:r w:rsidRPr="006221A3">
        <w:rPr>
          <w:rFonts w:ascii="Times New Roman" w:hAnsi="Times New Roman" w:cs="Times New Roman"/>
          <w:sz w:val="24"/>
          <w:szCs w:val="24"/>
        </w:rPr>
        <w:instrText>ADDIN CSL_CITATION {"citationItems":[{"id":"ITEM-1","itemData":{"DOI":"10.33061/rsfu.v4i1.3409","ISSN":"2550-0171","abstract":"This research is performed on order to test the influence of the variable Capital Adequacy Ratio (CAR), Non Performing Loan (NPL), Net Interest Margin (NIM), Biaya Operasional/Pendapatan Operasional (BOPO), Loan to Deposit Ratio (LDR) toward Return On Asset (ROA).Methodology research as the sample used purposive sampling, sample was accrued 26 Bank Pembangunan Daerah in Indonesia. Data analysis with multi linear regression of ordinary least square and hypotheses test used t-statistic and F-statistic at level of significance 5%, a classic assumption examination which consist of data normality test, multicolinearity test, hetersoskedasticity test and autocorrelation test is also being done to test the hypotheses.During research period show as variabel and data research was normal distributed. Based on test, multicolinearity test, hetersoskedasticity test and autocorrelation test classic assumption deviation has no founded, this indicate that the available data has fulfill the condition to use multi linear regression model. This result of research show that variable NPL did not influence ROA. Variable CAR, NIM, and LDR positive significant influence toward ROA. Variable BOPO negative significant influence toward ROA. Prediction capability from these five variable toward ROA is 63,6% where the balance 36,4% is affected to other factor which was not to be entered to research model.Key Words : Return On Asset (ROA), Capital Adequacy Ratio (CAR), Non Performing Loan (NPL), Net Interest Margin (NIM), Biaya Operasional/Pendapatan Operasional (BOPO), Loan to Deposit Ratio (LDR).","author":[{"dropping-particle":"","family":"Setyarini","given":"Adhista","non-dropping-particle":"","parse-names":false,"suffix":""}],"container-title":"Research Fair Unisri","id":"ITEM-1","issue":"1","issued":{"date-parts":[["2020"]]},"page":"282-290","title":"ANALISIS PENGARUH CAR, NPL, NIM, BOPO, LDR TERHADAP ROA (Studi Pada Bank Pembangunan Daerah Di Indonesia Periode 2015-2018)","type":"article-journal","volume":"4"},"uris":["http://www.mendeley.com/documents/?uuid=8c744345-dbe6-4bff-9df8-79bf42e3842b"]}],"mendeley":{"formattedCitation":"(Setyarini, 2020)","plainTextFormattedCitation":"(Setyarini, 2020)","previouslyFormattedCitation":"(Setyarini, 2020)"},"properties":{"noteIndex":0},"schema":"https://github.com/citation-style-language/schema/raw/master/csl-citation.json"}</w:instrText>
      </w:r>
      <w:r w:rsidRPr="006221A3">
        <w:rPr>
          <w:rFonts w:ascii="Times New Roman" w:hAnsi="Times New Roman" w:cs="Times New Roman"/>
          <w:sz w:val="24"/>
          <w:szCs w:val="24"/>
        </w:rPr>
        <w:fldChar w:fldCharType="separate"/>
      </w:r>
      <w:r w:rsidRPr="006221A3">
        <w:rPr>
          <w:rFonts w:ascii="Times New Roman" w:hAnsi="Times New Roman" w:cs="Times New Roman"/>
          <w:noProof/>
          <w:sz w:val="24"/>
          <w:szCs w:val="24"/>
        </w:rPr>
        <w:t>(Setyarini, 2020)</w:t>
      </w:r>
      <w:r w:rsidRPr="006221A3">
        <w:rPr>
          <w:rFonts w:ascii="Times New Roman" w:hAnsi="Times New Roman" w:cs="Times New Roman"/>
          <w:sz w:val="24"/>
          <w:szCs w:val="24"/>
        </w:rPr>
        <w:fldChar w:fldCharType="end"/>
      </w:r>
      <w:r w:rsidRPr="006221A3">
        <w:rPr>
          <w:rFonts w:ascii="Times New Roman" w:hAnsi="Times New Roman" w:cs="Times New Roman"/>
          <w:sz w:val="24"/>
          <w:szCs w:val="24"/>
        </w:rPr>
        <w:t xml:space="preserve">, </w:t>
      </w:r>
      <w:r w:rsidRPr="006221A3">
        <w:rPr>
          <w:rFonts w:ascii="Times New Roman" w:hAnsi="Times New Roman" w:cs="Times New Roman"/>
          <w:sz w:val="24"/>
          <w:szCs w:val="24"/>
        </w:rPr>
        <w:fldChar w:fldCharType="begin" w:fldLock="1"/>
      </w:r>
      <w:r w:rsidRPr="006221A3">
        <w:rPr>
          <w:rFonts w:ascii="Times New Roman" w:hAnsi="Times New Roman" w:cs="Times New Roman"/>
          <w:sz w:val="24"/>
          <w:szCs w:val="24"/>
        </w:rPr>
        <w:instrText>ADDIN CSL_CITATION {"citationItems":[{"id":"ITEM-1","itemData":{"DOI":"10.29407/jse.v5i1.130","abstract":"ROA is scale used to calculate bank effectiveness because Return On Assets (ROA) is an important one for calculating profits by utilizing assets owned by a bank. So analyzing the effect of the ratio of Net Interest Margin (NIM), Operating Costs to Operating Income (BOPO), Loan To Deposit Ratio (LDR), and Non-Performing Loans (NPL) on the Return On Assets (ROA) of Bank Rakyat Indonesia is very important to see the level of the health of the bank and the bank's profit. The data used is Bank Rakyat Indonesia from 2009-2020. The results showed that the BOPO and LDR variables had a positive effect on ROA, while the NIM and NPL variables had a negative effect on ROA. The analytical tool used in this research is the Vector Error Correction Model (VECM).","author":[{"dropping-particle":"","family":"Hidayat","given":"Restu","non-dropping-particle":"","parse-names":false,"suffix":""},{"dropping-particle":"","family":"Lubis","given":"Firsty Ramadhona Amalia","non-dropping-particle":"","parse-names":false,"suffix":""},{"dropping-particle":"","family":"Salim","given":"Agus","non-dropping-particle":"","parse-names":false,"suffix":""}],"container-title":"Jurnal Simki Economic","id":"ITEM-1","issue":"1","issued":{"date-parts":[["2022"]]},"page":"39-49","title":"Analisis Rasio NIM, BOPO, NPL dan LDR terhadap ROA Bank Rakyat Indonesia Tahun 2009-2020","type":"article-journal","volume":"5"},"uris":["http://www.mendeley.com/documents/?uuid=d03ff845-8ecc-4e82-a705-5b2105553aaf"]}],"mendeley":{"formattedCitation":"(Hidayat et al., 2022)","plainTextFormattedCitation":"(Hidayat et al., 2022)","previouslyFormattedCitation":"(Hidayat et al., 2022)"},"properties":{"noteIndex":0},"schema":"https://github.com/citation-style-language/schema/raw/master/csl-citation.json"}</w:instrText>
      </w:r>
      <w:r w:rsidRPr="006221A3">
        <w:rPr>
          <w:rFonts w:ascii="Times New Roman" w:hAnsi="Times New Roman" w:cs="Times New Roman"/>
          <w:sz w:val="24"/>
          <w:szCs w:val="24"/>
        </w:rPr>
        <w:fldChar w:fldCharType="separate"/>
      </w:r>
      <w:r w:rsidRPr="006221A3">
        <w:rPr>
          <w:rFonts w:ascii="Times New Roman" w:hAnsi="Times New Roman" w:cs="Times New Roman"/>
          <w:noProof/>
          <w:sz w:val="24"/>
          <w:szCs w:val="24"/>
        </w:rPr>
        <w:t>(Hidayat et al., 2022)</w:t>
      </w:r>
      <w:r w:rsidRPr="006221A3">
        <w:rPr>
          <w:rFonts w:ascii="Times New Roman" w:hAnsi="Times New Roman" w:cs="Times New Roman"/>
          <w:sz w:val="24"/>
          <w:szCs w:val="24"/>
        </w:rPr>
        <w:fldChar w:fldCharType="end"/>
      </w:r>
      <w:r w:rsidR="006221A3" w:rsidRPr="006221A3">
        <w:rPr>
          <w:rFonts w:ascii="Times New Roman" w:hAnsi="Times New Roman" w:cs="Times New Roman"/>
          <w:sz w:val="24"/>
          <w:szCs w:val="24"/>
        </w:rPr>
        <w:t>, (Rosandy &amp; Sha, 2022)</w:t>
      </w:r>
      <w:r w:rsidRPr="006221A3">
        <w:rPr>
          <w:rFonts w:ascii="Times New Roman" w:hAnsi="Times New Roman" w:cs="Times New Roman"/>
          <w:sz w:val="24"/>
          <w:szCs w:val="24"/>
        </w:rPr>
        <w:t xml:space="preserve"> yang menjelaskan bahwa </w:t>
      </w:r>
      <w:r w:rsidR="00AF35C3" w:rsidRPr="006221A3">
        <w:rPr>
          <w:rFonts w:ascii="Times New Roman" w:hAnsi="Times New Roman" w:cs="Times New Roman"/>
          <w:i/>
          <w:sz w:val="24"/>
          <w:szCs w:val="24"/>
        </w:rPr>
        <w:t>Loan to Deposit Ratio</w:t>
      </w:r>
      <w:r w:rsidR="00AF35C3" w:rsidRPr="006221A3">
        <w:rPr>
          <w:rFonts w:ascii="Times New Roman" w:hAnsi="Times New Roman" w:cs="Times New Roman"/>
          <w:sz w:val="24"/>
          <w:szCs w:val="24"/>
        </w:rPr>
        <w:t xml:space="preserve"> (LDR) </w:t>
      </w:r>
      <w:r w:rsidRPr="006221A3">
        <w:rPr>
          <w:rFonts w:ascii="Times New Roman" w:hAnsi="Times New Roman" w:cs="Times New Roman"/>
          <w:sz w:val="24"/>
          <w:szCs w:val="24"/>
        </w:rPr>
        <w:t xml:space="preserve">memiliki pengaruh positif dan signifikan terhadap </w:t>
      </w:r>
      <w:r w:rsidRPr="006221A3">
        <w:rPr>
          <w:rFonts w:ascii="Times New Roman" w:hAnsi="Times New Roman" w:cs="Times New Roman"/>
          <w:sz w:val="24"/>
          <w:szCs w:val="24"/>
        </w:rPr>
        <w:lastRenderedPageBreak/>
        <w:t>Return on Assets. Namun hasil penelitian ini sejalan dengan penelitian sebelumnya yang dilakukan oleh</w:t>
      </w:r>
      <w:r w:rsidR="00FE13C4" w:rsidRPr="006221A3">
        <w:rPr>
          <w:rFonts w:ascii="Times New Roman" w:hAnsi="Times New Roman" w:cs="Times New Roman"/>
          <w:sz w:val="24"/>
          <w:szCs w:val="24"/>
        </w:rPr>
        <w:t xml:space="preserve"> (</w:t>
      </w:r>
      <w:r w:rsidR="00AF35C3" w:rsidRPr="006221A3">
        <w:rPr>
          <w:rFonts w:ascii="Times New Roman" w:hAnsi="Times New Roman" w:cs="Times New Roman"/>
          <w:sz w:val="24"/>
          <w:szCs w:val="24"/>
        </w:rPr>
        <w:t>Korompis et al, 2020),</w:t>
      </w:r>
      <w:r w:rsidR="00951498">
        <w:rPr>
          <w:rFonts w:ascii="Times New Roman" w:hAnsi="Times New Roman" w:cs="Times New Roman"/>
          <w:sz w:val="24"/>
          <w:szCs w:val="24"/>
        </w:rPr>
        <w:t xml:space="preserve"> </w:t>
      </w:r>
      <w:r w:rsidR="00951498" w:rsidRPr="006221A3">
        <w:rPr>
          <w:rFonts w:ascii="Times New Roman" w:hAnsi="Times New Roman" w:cs="Times New Roman"/>
          <w:sz w:val="24"/>
          <w:szCs w:val="24"/>
        </w:rPr>
        <w:t>(Fasha &amp; Cherudin, 2021)</w:t>
      </w:r>
      <w:r w:rsidR="00951498">
        <w:rPr>
          <w:rFonts w:ascii="Times New Roman" w:hAnsi="Times New Roman" w:cs="Times New Roman"/>
          <w:sz w:val="24"/>
          <w:szCs w:val="24"/>
        </w:rPr>
        <w:t>,</w:t>
      </w:r>
      <w:r w:rsidR="00D6135D">
        <w:rPr>
          <w:rFonts w:ascii="Times New Roman" w:hAnsi="Times New Roman" w:cs="Times New Roman"/>
          <w:sz w:val="24"/>
          <w:szCs w:val="24"/>
        </w:rPr>
        <w:t xml:space="preserve"> (Widyaningsih &amp; Sampurno, </w:t>
      </w:r>
      <w:r w:rsidR="00C05C1D">
        <w:rPr>
          <w:rFonts w:ascii="Times New Roman" w:hAnsi="Times New Roman" w:cs="Times New Roman"/>
          <w:sz w:val="24"/>
          <w:szCs w:val="24"/>
        </w:rPr>
        <w:t xml:space="preserve">2022), (Khoiriyah &amp; Dailibas, 2022), </w:t>
      </w:r>
      <w:r w:rsidR="00AD4599">
        <w:rPr>
          <w:rFonts w:ascii="Times New Roman" w:hAnsi="Times New Roman" w:cs="Times New Roman"/>
          <w:sz w:val="24"/>
          <w:szCs w:val="24"/>
        </w:rPr>
        <w:t xml:space="preserve">(Caesarani &amp; Manda, 2022), </w:t>
      </w:r>
      <w:r w:rsidR="009B1B37">
        <w:rPr>
          <w:rFonts w:ascii="Times New Roman" w:hAnsi="Times New Roman" w:cs="Times New Roman"/>
          <w:sz w:val="24"/>
          <w:szCs w:val="24"/>
        </w:rPr>
        <w:t>(Arthamevia &amp; Husin, 2023)</w:t>
      </w:r>
      <w:r w:rsidR="00951498">
        <w:rPr>
          <w:rFonts w:ascii="Times New Roman" w:hAnsi="Times New Roman" w:cs="Times New Roman"/>
          <w:sz w:val="24"/>
          <w:szCs w:val="24"/>
        </w:rPr>
        <w:t xml:space="preserve"> </w:t>
      </w:r>
      <w:r w:rsidRPr="006221A3">
        <w:rPr>
          <w:rFonts w:ascii="Times New Roman" w:hAnsi="Times New Roman" w:cs="Times New Roman"/>
          <w:sz w:val="24"/>
          <w:szCs w:val="24"/>
        </w:rPr>
        <w:t xml:space="preserve">menunjukan hasil penelitian bahwa </w:t>
      </w:r>
      <w:r w:rsidR="00FE13C4" w:rsidRPr="006221A3">
        <w:rPr>
          <w:rFonts w:ascii="Times New Roman" w:hAnsi="Times New Roman" w:cs="Times New Roman"/>
          <w:i/>
          <w:sz w:val="24"/>
          <w:szCs w:val="24"/>
        </w:rPr>
        <w:t>Loan to Deposit Ratio</w:t>
      </w:r>
      <w:r w:rsidR="00FE13C4" w:rsidRPr="006221A3">
        <w:rPr>
          <w:rFonts w:ascii="Times New Roman" w:hAnsi="Times New Roman" w:cs="Times New Roman"/>
          <w:sz w:val="24"/>
          <w:szCs w:val="24"/>
        </w:rPr>
        <w:t xml:space="preserve"> (LDR)  </w:t>
      </w:r>
      <w:r w:rsidRPr="006221A3">
        <w:rPr>
          <w:rFonts w:ascii="Times New Roman" w:hAnsi="Times New Roman" w:cs="Times New Roman"/>
          <w:sz w:val="24"/>
          <w:szCs w:val="24"/>
        </w:rPr>
        <w:t xml:space="preserve">memiliki pengaruh negatif dan siginifikan terhadap </w:t>
      </w:r>
      <w:r w:rsidR="00E17176" w:rsidRPr="00D507E5">
        <w:rPr>
          <w:rFonts w:ascii="Times New Roman" w:hAnsi="Times New Roman" w:cs="Times New Roman"/>
          <w:i/>
          <w:sz w:val="24"/>
          <w:szCs w:val="24"/>
        </w:rPr>
        <w:t>Return on Asset</w:t>
      </w:r>
      <w:r w:rsidR="00E17176">
        <w:rPr>
          <w:rFonts w:ascii="Times New Roman" w:hAnsi="Times New Roman" w:cs="Times New Roman"/>
          <w:sz w:val="24"/>
          <w:szCs w:val="24"/>
        </w:rPr>
        <w:t xml:space="preserve"> (ROA)</w:t>
      </w:r>
      <w:r w:rsidRPr="006221A3">
        <w:rPr>
          <w:rFonts w:ascii="Times New Roman" w:hAnsi="Times New Roman" w:cs="Times New Roman"/>
          <w:sz w:val="24"/>
          <w:szCs w:val="24"/>
        </w:rPr>
        <w:t>.</w:t>
      </w:r>
    </w:p>
    <w:p w:rsidR="00DB0A9C" w:rsidRPr="008F5DD5" w:rsidRDefault="00ED1C0F" w:rsidP="009B1B37">
      <w:pPr>
        <w:spacing w:line="480" w:lineRule="auto"/>
        <w:ind w:left="709" w:hanging="709"/>
        <w:jc w:val="both"/>
        <w:rPr>
          <w:rFonts w:ascii="Times New Roman" w:hAnsi="Times New Roman" w:cs="Times New Roman"/>
          <w:b/>
          <w:sz w:val="24"/>
          <w:lang w:eastAsia="id-ID"/>
        </w:rPr>
      </w:pPr>
      <w:r w:rsidRPr="00DB0A9C">
        <w:rPr>
          <w:rFonts w:ascii="Times New Roman" w:hAnsi="Times New Roman" w:cs="Times New Roman"/>
          <w:b/>
          <w:sz w:val="24"/>
          <w:szCs w:val="24"/>
        </w:rPr>
        <w:t>4.3.2</w:t>
      </w:r>
      <w:r w:rsidRPr="00DB0A9C">
        <w:rPr>
          <w:rFonts w:ascii="Times New Roman" w:hAnsi="Times New Roman" w:cs="Times New Roman"/>
          <w:b/>
          <w:sz w:val="24"/>
          <w:szCs w:val="24"/>
        </w:rPr>
        <w:tab/>
        <w:t xml:space="preserve">Pengaruh </w:t>
      </w:r>
      <w:r w:rsidRPr="00DB0A9C">
        <w:rPr>
          <w:rFonts w:ascii="Times New Roman" w:hAnsi="Times New Roman" w:cs="Times New Roman"/>
          <w:b/>
          <w:i/>
          <w:sz w:val="24"/>
          <w:szCs w:val="24"/>
        </w:rPr>
        <w:t>N</w:t>
      </w:r>
      <w:r w:rsidR="00A1711E" w:rsidRPr="00DB0A9C">
        <w:rPr>
          <w:rFonts w:ascii="Times New Roman" w:hAnsi="Times New Roman" w:cs="Times New Roman"/>
          <w:b/>
          <w:i/>
          <w:sz w:val="24"/>
          <w:szCs w:val="24"/>
        </w:rPr>
        <w:t xml:space="preserve">et </w:t>
      </w:r>
      <w:r w:rsidRPr="00DB0A9C">
        <w:rPr>
          <w:rFonts w:ascii="Times New Roman" w:hAnsi="Times New Roman" w:cs="Times New Roman"/>
          <w:b/>
          <w:i/>
          <w:sz w:val="24"/>
          <w:szCs w:val="24"/>
        </w:rPr>
        <w:t>I</w:t>
      </w:r>
      <w:r w:rsidR="00A1711E" w:rsidRPr="00DB0A9C">
        <w:rPr>
          <w:rFonts w:ascii="Times New Roman" w:hAnsi="Times New Roman" w:cs="Times New Roman"/>
          <w:b/>
          <w:i/>
          <w:sz w:val="24"/>
          <w:szCs w:val="24"/>
        </w:rPr>
        <w:t xml:space="preserve">nterest </w:t>
      </w:r>
      <w:r w:rsidRPr="00DB0A9C">
        <w:rPr>
          <w:rFonts w:ascii="Times New Roman" w:hAnsi="Times New Roman" w:cs="Times New Roman"/>
          <w:b/>
          <w:i/>
          <w:sz w:val="24"/>
          <w:szCs w:val="24"/>
        </w:rPr>
        <w:t>M</w:t>
      </w:r>
      <w:r w:rsidR="00A1711E" w:rsidRPr="00DB0A9C">
        <w:rPr>
          <w:rFonts w:ascii="Times New Roman" w:hAnsi="Times New Roman" w:cs="Times New Roman"/>
          <w:b/>
          <w:i/>
          <w:sz w:val="24"/>
          <w:szCs w:val="24"/>
        </w:rPr>
        <w:t>argin</w:t>
      </w:r>
      <w:r w:rsidR="00A1711E" w:rsidRPr="00DB0A9C">
        <w:rPr>
          <w:rFonts w:ascii="Times New Roman" w:hAnsi="Times New Roman" w:cs="Times New Roman"/>
          <w:b/>
          <w:sz w:val="24"/>
          <w:szCs w:val="24"/>
        </w:rPr>
        <w:t xml:space="preserve"> (NIM)</w:t>
      </w:r>
      <w:r w:rsidRPr="00DB0A9C">
        <w:rPr>
          <w:rFonts w:ascii="Times New Roman" w:hAnsi="Times New Roman" w:cs="Times New Roman"/>
          <w:b/>
          <w:sz w:val="24"/>
          <w:szCs w:val="24"/>
        </w:rPr>
        <w:t xml:space="preserve"> Terhadap </w:t>
      </w:r>
      <w:r w:rsidR="00E17176" w:rsidRPr="00DB0A9C">
        <w:rPr>
          <w:rFonts w:ascii="Times New Roman" w:hAnsi="Times New Roman" w:cs="Times New Roman"/>
          <w:b/>
          <w:i/>
          <w:sz w:val="24"/>
          <w:szCs w:val="24"/>
        </w:rPr>
        <w:t>Return on Asset</w:t>
      </w:r>
      <w:r w:rsidR="00E17176" w:rsidRPr="00DB0A9C">
        <w:rPr>
          <w:rFonts w:ascii="Times New Roman" w:hAnsi="Times New Roman" w:cs="Times New Roman"/>
          <w:b/>
          <w:sz w:val="24"/>
          <w:szCs w:val="24"/>
        </w:rPr>
        <w:t xml:space="preserve"> (ROA) </w:t>
      </w:r>
      <w:r w:rsidRPr="00DB0A9C">
        <w:rPr>
          <w:rFonts w:ascii="Times New Roman" w:hAnsi="Times New Roman" w:cs="Times New Roman"/>
          <w:b/>
          <w:sz w:val="24"/>
          <w:szCs w:val="24"/>
        </w:rPr>
        <w:t xml:space="preserve">Pada Perusahaan </w:t>
      </w:r>
      <w:r w:rsidR="008F5DD5">
        <w:rPr>
          <w:rFonts w:ascii="Times New Roman" w:hAnsi="Times New Roman" w:cs="Times New Roman"/>
          <w:b/>
          <w:sz w:val="24"/>
          <w:szCs w:val="24"/>
        </w:rPr>
        <w:t xml:space="preserve">Perbankan </w:t>
      </w:r>
      <w:r w:rsidRPr="00DB0A9C">
        <w:rPr>
          <w:rFonts w:ascii="Times New Roman" w:hAnsi="Times New Roman" w:cs="Times New Roman"/>
          <w:b/>
          <w:sz w:val="24"/>
          <w:szCs w:val="24"/>
        </w:rPr>
        <w:t xml:space="preserve">Yang Terdaftar Di </w:t>
      </w:r>
      <w:r w:rsidR="008F5DD5" w:rsidRPr="00DB0A9C">
        <w:rPr>
          <w:rFonts w:ascii="Times New Roman" w:hAnsi="Times New Roman" w:cs="Times New Roman"/>
          <w:b/>
          <w:sz w:val="24"/>
          <w:lang w:eastAsia="id-ID"/>
        </w:rPr>
        <w:t>Bursa Efek Indonesia (BEI).</w:t>
      </w:r>
    </w:p>
    <w:p w:rsidR="00ED1C0F" w:rsidRPr="006221A3" w:rsidRDefault="00ED1C0F" w:rsidP="009B1B37">
      <w:pPr>
        <w:spacing w:line="480" w:lineRule="auto"/>
        <w:ind w:firstLine="709"/>
        <w:jc w:val="both"/>
        <w:rPr>
          <w:rFonts w:ascii="Times New Roman" w:hAnsi="Times New Roman" w:cs="Times New Roman"/>
          <w:sz w:val="24"/>
          <w:szCs w:val="24"/>
        </w:rPr>
      </w:pPr>
      <w:r w:rsidRPr="006221A3">
        <w:rPr>
          <w:rFonts w:ascii="Times New Roman" w:hAnsi="Times New Roman" w:cs="Times New Roman"/>
          <w:sz w:val="24"/>
          <w:szCs w:val="24"/>
        </w:rPr>
        <w:t>Berdasarkan h</w:t>
      </w:r>
      <w:r w:rsidR="004E2481">
        <w:rPr>
          <w:rFonts w:ascii="Times New Roman" w:hAnsi="Times New Roman" w:cs="Times New Roman"/>
          <w:sz w:val="24"/>
          <w:szCs w:val="24"/>
        </w:rPr>
        <w:t xml:space="preserve">asil regresi data panel metode </w:t>
      </w:r>
      <w:r w:rsidRPr="006221A3">
        <w:rPr>
          <w:rFonts w:ascii="Times New Roman" w:hAnsi="Times New Roman" w:cs="Times New Roman"/>
          <w:sz w:val="24"/>
          <w:szCs w:val="24"/>
        </w:rPr>
        <w:t xml:space="preserve">Random Effect Model (REM) dapat dilihat pada tabel 4.10, diketahui bahwa nilai koefisien variabel </w:t>
      </w:r>
      <w:r w:rsidR="00A1711E" w:rsidRPr="00A1711E">
        <w:rPr>
          <w:rFonts w:ascii="Times New Roman" w:hAnsi="Times New Roman" w:cs="Times New Roman"/>
          <w:i/>
          <w:sz w:val="24"/>
          <w:szCs w:val="24"/>
        </w:rPr>
        <w:t>Net Interest Margin</w:t>
      </w:r>
      <w:r w:rsidR="00A1711E">
        <w:rPr>
          <w:rFonts w:ascii="Times New Roman" w:hAnsi="Times New Roman" w:cs="Times New Roman"/>
          <w:sz w:val="24"/>
          <w:szCs w:val="24"/>
        </w:rPr>
        <w:t xml:space="preserve"> (NIM)</w:t>
      </w:r>
      <w:r w:rsidRPr="006221A3">
        <w:rPr>
          <w:rFonts w:ascii="Times New Roman" w:hAnsi="Times New Roman" w:cs="Times New Roman"/>
          <w:sz w:val="24"/>
          <w:szCs w:val="24"/>
        </w:rPr>
        <w:t xml:space="preserve"> sebesar 0.319445 menunjukan bahwa setiap kenaikan variabel </w:t>
      </w:r>
      <w:r w:rsidR="00A1711E" w:rsidRPr="00A1711E">
        <w:rPr>
          <w:rFonts w:ascii="Times New Roman" w:hAnsi="Times New Roman" w:cs="Times New Roman"/>
          <w:i/>
          <w:sz w:val="24"/>
          <w:szCs w:val="24"/>
        </w:rPr>
        <w:t>Net Interest Margin</w:t>
      </w:r>
      <w:r w:rsidR="00A1711E">
        <w:rPr>
          <w:rFonts w:ascii="Times New Roman" w:hAnsi="Times New Roman" w:cs="Times New Roman"/>
          <w:sz w:val="24"/>
          <w:szCs w:val="24"/>
        </w:rPr>
        <w:t xml:space="preserve"> (NIM)</w:t>
      </w:r>
      <w:r w:rsidRPr="006221A3">
        <w:rPr>
          <w:rFonts w:ascii="Times New Roman" w:hAnsi="Times New Roman" w:cs="Times New Roman"/>
          <w:sz w:val="24"/>
          <w:szCs w:val="24"/>
        </w:rPr>
        <w:t xml:space="preserve"> sebesar 1% maka kemungkinan perusahaan mengalami </w:t>
      </w:r>
      <w:r w:rsidR="00E17176" w:rsidRPr="00D507E5">
        <w:rPr>
          <w:rFonts w:ascii="Times New Roman" w:hAnsi="Times New Roman" w:cs="Times New Roman"/>
          <w:i/>
          <w:sz w:val="24"/>
          <w:szCs w:val="24"/>
        </w:rPr>
        <w:t>Return on Asset</w:t>
      </w:r>
      <w:r w:rsidR="00E17176">
        <w:rPr>
          <w:rFonts w:ascii="Times New Roman" w:hAnsi="Times New Roman" w:cs="Times New Roman"/>
          <w:sz w:val="24"/>
          <w:szCs w:val="24"/>
        </w:rPr>
        <w:t xml:space="preserve"> (ROA)</w:t>
      </w:r>
      <w:r w:rsidRPr="006221A3">
        <w:rPr>
          <w:rFonts w:ascii="Times New Roman" w:hAnsi="Times New Roman" w:cs="Times New Roman"/>
          <w:sz w:val="24"/>
          <w:szCs w:val="24"/>
        </w:rPr>
        <w:t xml:space="preserve"> sebesar 31,9% hal ini berarti X2 berpengaruh</w:t>
      </w:r>
      <w:r w:rsidR="00EA6571">
        <w:rPr>
          <w:rFonts w:ascii="Times New Roman" w:hAnsi="Times New Roman" w:cs="Times New Roman"/>
          <w:sz w:val="24"/>
          <w:szCs w:val="24"/>
        </w:rPr>
        <w:t xml:space="preserve"> positif terhadap variabel  Y. S</w:t>
      </w:r>
      <w:r w:rsidR="004E2481">
        <w:rPr>
          <w:rFonts w:ascii="Times New Roman" w:hAnsi="Times New Roman" w:cs="Times New Roman"/>
          <w:sz w:val="24"/>
          <w:szCs w:val="24"/>
        </w:rPr>
        <w:t>elanjutnya berdasarkan nilai P</w:t>
      </w:r>
      <w:r w:rsidRPr="006221A3">
        <w:rPr>
          <w:rFonts w:ascii="Times New Roman" w:hAnsi="Times New Roman" w:cs="Times New Roman"/>
          <w:sz w:val="24"/>
          <w:szCs w:val="24"/>
        </w:rPr>
        <w:t>rob&gt;|z|</w:t>
      </w:r>
      <w:r w:rsidR="00EA6571">
        <w:rPr>
          <w:rFonts w:ascii="Times New Roman" w:hAnsi="Times New Roman" w:cs="Times New Roman"/>
          <w:sz w:val="24"/>
          <w:szCs w:val="24"/>
        </w:rPr>
        <w:t>X2 adalah  0.005 &lt; 0.05, maka H0</w:t>
      </w:r>
      <w:r w:rsidRPr="006221A3">
        <w:rPr>
          <w:rFonts w:ascii="Times New Roman" w:hAnsi="Times New Roman" w:cs="Times New Roman"/>
          <w:sz w:val="24"/>
          <w:szCs w:val="24"/>
        </w:rPr>
        <w:t xml:space="preserve"> ditolak, dan H1 diterima. Yang artinya variabel X2 berpengaruh </w:t>
      </w:r>
      <w:r w:rsidR="00EA6571">
        <w:rPr>
          <w:rFonts w:ascii="Times New Roman" w:hAnsi="Times New Roman" w:cs="Times New Roman"/>
          <w:sz w:val="24"/>
          <w:szCs w:val="24"/>
        </w:rPr>
        <w:t xml:space="preserve">positif dan </w:t>
      </w:r>
      <w:r w:rsidRPr="006221A3">
        <w:rPr>
          <w:rFonts w:ascii="Times New Roman" w:hAnsi="Times New Roman" w:cs="Times New Roman"/>
          <w:sz w:val="24"/>
          <w:szCs w:val="24"/>
        </w:rPr>
        <w:t xml:space="preserve">signifikan terhadap variabel Y. </w:t>
      </w:r>
    </w:p>
    <w:p w:rsidR="00ED1C0F" w:rsidRPr="006221A3" w:rsidRDefault="00ED1C0F" w:rsidP="009B1B37">
      <w:pPr>
        <w:spacing w:line="480" w:lineRule="auto"/>
        <w:ind w:firstLine="709"/>
        <w:jc w:val="both"/>
        <w:rPr>
          <w:rFonts w:ascii="Times New Roman" w:hAnsi="Times New Roman" w:cs="Times New Roman"/>
          <w:sz w:val="24"/>
          <w:szCs w:val="24"/>
        </w:rPr>
      </w:pPr>
      <w:r w:rsidRPr="006221A3">
        <w:rPr>
          <w:rFonts w:ascii="Times New Roman" w:hAnsi="Times New Roman" w:cs="Times New Roman"/>
          <w:sz w:val="24"/>
          <w:szCs w:val="24"/>
        </w:rPr>
        <w:t>Hasil Penelitian ini dapat menjawab sub bab 2.10 Hi</w:t>
      </w:r>
      <w:r w:rsidR="00FA7266">
        <w:rPr>
          <w:rFonts w:ascii="Times New Roman" w:hAnsi="Times New Roman" w:cs="Times New Roman"/>
          <w:sz w:val="24"/>
          <w:szCs w:val="24"/>
        </w:rPr>
        <w:t xml:space="preserve">potesis Penelitian, dimana H2: </w:t>
      </w:r>
      <w:r w:rsidR="008E51A9" w:rsidRPr="00A1711E">
        <w:rPr>
          <w:rFonts w:ascii="Times New Roman" w:hAnsi="Times New Roman" w:cs="Times New Roman"/>
          <w:i/>
          <w:sz w:val="24"/>
          <w:szCs w:val="24"/>
        </w:rPr>
        <w:t>Net Interest Margin</w:t>
      </w:r>
      <w:r w:rsidR="008E51A9">
        <w:rPr>
          <w:rFonts w:ascii="Times New Roman" w:hAnsi="Times New Roman" w:cs="Times New Roman"/>
          <w:sz w:val="24"/>
          <w:szCs w:val="24"/>
        </w:rPr>
        <w:t xml:space="preserve"> (NIM)</w:t>
      </w:r>
      <w:r w:rsidRPr="006221A3">
        <w:rPr>
          <w:rFonts w:ascii="Times New Roman" w:hAnsi="Times New Roman" w:cs="Times New Roman"/>
          <w:sz w:val="24"/>
          <w:szCs w:val="24"/>
        </w:rPr>
        <w:t xml:space="preserve"> berpengaruh terhadap </w:t>
      </w:r>
      <w:r w:rsidR="00E17176" w:rsidRPr="00D507E5">
        <w:rPr>
          <w:rFonts w:ascii="Times New Roman" w:hAnsi="Times New Roman" w:cs="Times New Roman"/>
          <w:i/>
          <w:sz w:val="24"/>
          <w:szCs w:val="24"/>
        </w:rPr>
        <w:t>Return on Asset</w:t>
      </w:r>
      <w:r w:rsidR="00E17176">
        <w:rPr>
          <w:rFonts w:ascii="Times New Roman" w:hAnsi="Times New Roman" w:cs="Times New Roman"/>
          <w:sz w:val="24"/>
          <w:szCs w:val="24"/>
        </w:rPr>
        <w:t xml:space="preserve"> (ROA)</w:t>
      </w:r>
      <w:r w:rsidRPr="006221A3">
        <w:rPr>
          <w:rFonts w:ascii="Times New Roman" w:hAnsi="Times New Roman" w:cs="Times New Roman"/>
          <w:sz w:val="24"/>
          <w:szCs w:val="24"/>
        </w:rPr>
        <w:t xml:space="preserve">, maka pada penelitian ini untuk H1 diterima. Dapat disimpulkan bahwa variabel </w:t>
      </w:r>
      <w:r w:rsidR="008E51A9" w:rsidRPr="00A1711E">
        <w:rPr>
          <w:rFonts w:ascii="Times New Roman" w:hAnsi="Times New Roman" w:cs="Times New Roman"/>
          <w:i/>
          <w:sz w:val="24"/>
          <w:szCs w:val="24"/>
        </w:rPr>
        <w:t>Net Interest Margin</w:t>
      </w:r>
      <w:r w:rsidR="008E51A9">
        <w:rPr>
          <w:rFonts w:ascii="Times New Roman" w:hAnsi="Times New Roman" w:cs="Times New Roman"/>
          <w:sz w:val="24"/>
          <w:szCs w:val="24"/>
        </w:rPr>
        <w:t xml:space="preserve"> (NIM)</w:t>
      </w:r>
      <w:r w:rsidRPr="006221A3">
        <w:rPr>
          <w:rFonts w:ascii="Times New Roman" w:hAnsi="Times New Roman" w:cs="Times New Roman"/>
          <w:sz w:val="24"/>
          <w:szCs w:val="24"/>
        </w:rPr>
        <w:t xml:space="preserve"> secara parsial memiliki pengaruh positif dan </w:t>
      </w:r>
      <w:r w:rsidRPr="006221A3">
        <w:rPr>
          <w:rFonts w:ascii="Times New Roman" w:hAnsi="Times New Roman" w:cs="Times New Roman"/>
          <w:sz w:val="24"/>
          <w:szCs w:val="24"/>
        </w:rPr>
        <w:lastRenderedPageBreak/>
        <w:t xml:space="preserve">signifikan terhadap </w:t>
      </w:r>
      <w:r w:rsidR="00E17176" w:rsidRPr="00D507E5">
        <w:rPr>
          <w:rFonts w:ascii="Times New Roman" w:hAnsi="Times New Roman" w:cs="Times New Roman"/>
          <w:i/>
          <w:sz w:val="24"/>
          <w:szCs w:val="24"/>
        </w:rPr>
        <w:t>Return on Asset</w:t>
      </w:r>
      <w:r w:rsidR="00E17176">
        <w:rPr>
          <w:rFonts w:ascii="Times New Roman" w:hAnsi="Times New Roman" w:cs="Times New Roman"/>
          <w:sz w:val="24"/>
          <w:szCs w:val="24"/>
        </w:rPr>
        <w:t xml:space="preserve"> (ROA)</w:t>
      </w:r>
      <w:r w:rsidRPr="006221A3">
        <w:rPr>
          <w:rFonts w:ascii="Times New Roman" w:hAnsi="Times New Roman" w:cs="Times New Roman"/>
          <w:sz w:val="24"/>
          <w:szCs w:val="24"/>
        </w:rPr>
        <w:t xml:space="preserve"> pada perusahaan perbankan yang terdaftar di Bursa Efek Indonesia (BEI)  periode 2018 – 2022.</w:t>
      </w:r>
    </w:p>
    <w:p w:rsidR="00ED1C0F" w:rsidRPr="00B20300" w:rsidRDefault="00ED1C0F" w:rsidP="009B1B37">
      <w:pPr>
        <w:spacing w:line="480" w:lineRule="auto"/>
        <w:ind w:firstLine="709"/>
        <w:jc w:val="both"/>
        <w:rPr>
          <w:rFonts w:ascii="Times New Roman" w:hAnsi="Times New Roman" w:cs="Times New Roman"/>
          <w:sz w:val="24"/>
          <w:szCs w:val="24"/>
        </w:rPr>
      </w:pPr>
      <w:r w:rsidRPr="006221A3">
        <w:rPr>
          <w:rFonts w:ascii="Times New Roman" w:hAnsi="Times New Roman" w:cs="Times New Roman"/>
          <w:sz w:val="24"/>
          <w:szCs w:val="24"/>
        </w:rPr>
        <w:t>Hasil penelitian ini tidak sesuai dengan hasil penelitian yang dilakukan oleh</w:t>
      </w:r>
      <w:r w:rsidR="000A2E25">
        <w:rPr>
          <w:rFonts w:ascii="Times New Roman" w:hAnsi="Times New Roman" w:cs="Times New Roman"/>
          <w:sz w:val="24"/>
          <w:szCs w:val="24"/>
        </w:rPr>
        <w:t xml:space="preserve"> </w:t>
      </w:r>
      <w:r w:rsidR="0005467B">
        <w:rPr>
          <w:rFonts w:ascii="Times New Roman" w:hAnsi="Times New Roman" w:cs="Times New Roman"/>
          <w:sz w:val="24"/>
          <w:szCs w:val="24"/>
        </w:rPr>
        <w:t>(</w:t>
      </w:r>
      <w:r w:rsidR="00250200">
        <w:rPr>
          <w:rFonts w:ascii="Times New Roman" w:hAnsi="Times New Roman" w:cs="Times New Roman"/>
          <w:sz w:val="24"/>
          <w:szCs w:val="24"/>
        </w:rPr>
        <w:t>Harun, 2016), (Hidayat et al., 2022), (</w:t>
      </w:r>
      <w:r w:rsidR="007A4991">
        <w:rPr>
          <w:rFonts w:ascii="Times New Roman" w:hAnsi="Times New Roman" w:cs="Times New Roman"/>
          <w:sz w:val="24"/>
          <w:szCs w:val="24"/>
        </w:rPr>
        <w:t xml:space="preserve">Anggraeni &amp; Citarayani, 2022), </w:t>
      </w:r>
      <w:r w:rsidR="00654E08">
        <w:rPr>
          <w:rFonts w:ascii="Times New Roman" w:hAnsi="Times New Roman" w:cs="Times New Roman"/>
          <w:sz w:val="24"/>
          <w:szCs w:val="24"/>
        </w:rPr>
        <w:t>(Purnasari et al., 2023), (Pardede &amp; Pangestuti, 2016)</w:t>
      </w:r>
      <w:r w:rsidRPr="006221A3">
        <w:rPr>
          <w:rFonts w:ascii="Times New Roman" w:hAnsi="Times New Roman" w:cs="Times New Roman"/>
          <w:sz w:val="24"/>
          <w:szCs w:val="24"/>
        </w:rPr>
        <w:t xml:space="preserve"> yang menjelaskan bahwa </w:t>
      </w:r>
      <w:r w:rsidR="008E51A9" w:rsidRPr="00A1711E">
        <w:rPr>
          <w:rFonts w:ascii="Times New Roman" w:hAnsi="Times New Roman" w:cs="Times New Roman"/>
          <w:i/>
          <w:sz w:val="24"/>
          <w:szCs w:val="24"/>
        </w:rPr>
        <w:t>Net Interest Margin</w:t>
      </w:r>
      <w:r w:rsidR="008E51A9">
        <w:rPr>
          <w:rFonts w:ascii="Times New Roman" w:hAnsi="Times New Roman" w:cs="Times New Roman"/>
          <w:sz w:val="24"/>
          <w:szCs w:val="24"/>
        </w:rPr>
        <w:t xml:space="preserve"> (NIM) memiliki pengaruh negatif</w:t>
      </w:r>
      <w:r w:rsidRPr="006221A3">
        <w:rPr>
          <w:rFonts w:ascii="Times New Roman" w:hAnsi="Times New Roman" w:cs="Times New Roman"/>
          <w:sz w:val="24"/>
          <w:szCs w:val="24"/>
        </w:rPr>
        <w:t xml:space="preserve"> dan </w:t>
      </w:r>
      <w:r w:rsidR="00817D72">
        <w:rPr>
          <w:rFonts w:ascii="Times New Roman" w:hAnsi="Times New Roman" w:cs="Times New Roman"/>
          <w:sz w:val="24"/>
          <w:szCs w:val="24"/>
        </w:rPr>
        <w:t xml:space="preserve">tidak </w:t>
      </w:r>
      <w:r w:rsidRPr="006221A3">
        <w:rPr>
          <w:rFonts w:ascii="Times New Roman" w:hAnsi="Times New Roman" w:cs="Times New Roman"/>
          <w:sz w:val="24"/>
          <w:szCs w:val="24"/>
        </w:rPr>
        <w:t xml:space="preserve">signifikan terhadap </w:t>
      </w:r>
      <w:r w:rsidR="008E51A9" w:rsidRPr="00D507E5">
        <w:rPr>
          <w:rFonts w:ascii="Times New Roman" w:hAnsi="Times New Roman" w:cs="Times New Roman"/>
          <w:i/>
          <w:sz w:val="24"/>
          <w:szCs w:val="24"/>
        </w:rPr>
        <w:t>Return on Asset</w:t>
      </w:r>
      <w:r w:rsidR="008E51A9">
        <w:rPr>
          <w:rFonts w:ascii="Times New Roman" w:hAnsi="Times New Roman" w:cs="Times New Roman"/>
          <w:sz w:val="24"/>
          <w:szCs w:val="24"/>
        </w:rPr>
        <w:t xml:space="preserve"> (ROA)</w:t>
      </w:r>
      <w:r w:rsidRPr="006221A3">
        <w:rPr>
          <w:rFonts w:ascii="Times New Roman" w:hAnsi="Times New Roman" w:cs="Times New Roman"/>
          <w:sz w:val="24"/>
          <w:szCs w:val="24"/>
        </w:rPr>
        <w:t>. Namun hasil penelitian ini sejalan dengan penelitian sebelumnya yang dilakukan oleh</w:t>
      </w:r>
      <w:r w:rsidR="0069004A" w:rsidRPr="006221A3">
        <w:rPr>
          <w:rFonts w:ascii="Times New Roman" w:hAnsi="Times New Roman" w:cs="Times New Roman"/>
          <w:sz w:val="24"/>
          <w:szCs w:val="24"/>
        </w:rPr>
        <w:t xml:space="preserve"> </w:t>
      </w:r>
      <w:r w:rsidR="0069004A" w:rsidRPr="00A1711E">
        <w:rPr>
          <w:rFonts w:ascii="Times New Roman" w:hAnsi="Times New Roman" w:cs="Times New Roman"/>
          <w:sz w:val="24"/>
          <w:szCs w:val="24"/>
        </w:rPr>
        <w:fldChar w:fldCharType="begin" w:fldLock="1"/>
      </w:r>
      <w:r w:rsidR="0069004A" w:rsidRPr="00A1711E">
        <w:rPr>
          <w:rFonts w:ascii="Times New Roman" w:hAnsi="Times New Roman" w:cs="Times New Roman"/>
          <w:sz w:val="24"/>
          <w:szCs w:val="24"/>
        </w:rPr>
        <w:instrText>ADDIN CSL_CITATION {"citationItems":[{"id":"ITEM-1","itemData":{"ISBN":"9789793649726","abstract":"Penelitian ini bertujuan untuk menguji pengaruh CAR, NPL, BOPO, dan LDR terhadap ROA dengan NIM sebagai variabel intervening. Permasalahan dalam penelitian ini yaitu adanya ketidakjelasan terhadap faktor-faktor yang menyebabkan perubahan ROA. Metode analisis …","author":[{"dropping-particle":"","family":"Andiansyah","given":"Gladis. dkk","non-dropping-particle":"","parse-names":false,"suffix":""}],"container-title":"Proceeding SENDIU 2020","id":"ITEM-1","issued":{"date-parts":[["2020"]]},"page":"560-567","title":"Pengaruh CAR, NPL, BOPO , Dan LDR Terhadap ROA Dengan NIM Sebagai Variabel Intervening (Studi Pada Bank Yang Go Publik Di Bursa Efek Indonesia Periode Tahun 2015-2018)","type":"article-journal"},"uris":["http://www.mendeley.com/documents/?uuid=04f69dc0-a562-4e0a-97fc-e2dadb8c3c0f"]}],"mendeley":{"formattedCitation":"(Andiansyah, 2020)","plainTextFormattedCitation":"(Andiansyah, 2020)","previouslyFormattedCitation":"(Andiansyah, 2020)"},"properties":{"noteIndex":0},"schema":"https://github.com/citation-style-language/schema/raw/master/csl-citation.json"}</w:instrText>
      </w:r>
      <w:r w:rsidR="0069004A" w:rsidRPr="00A1711E">
        <w:rPr>
          <w:rFonts w:ascii="Times New Roman" w:hAnsi="Times New Roman" w:cs="Times New Roman"/>
          <w:sz w:val="24"/>
          <w:szCs w:val="24"/>
        </w:rPr>
        <w:fldChar w:fldCharType="separate"/>
      </w:r>
      <w:r w:rsidR="0069004A" w:rsidRPr="00A1711E">
        <w:rPr>
          <w:rFonts w:ascii="Times New Roman" w:hAnsi="Times New Roman" w:cs="Times New Roman"/>
          <w:noProof/>
          <w:sz w:val="24"/>
          <w:szCs w:val="24"/>
        </w:rPr>
        <w:t>(Andiansyah, 2020)</w:t>
      </w:r>
      <w:r w:rsidR="0069004A" w:rsidRPr="00A1711E">
        <w:rPr>
          <w:rFonts w:ascii="Times New Roman" w:hAnsi="Times New Roman" w:cs="Times New Roman"/>
          <w:sz w:val="24"/>
          <w:szCs w:val="24"/>
        </w:rPr>
        <w:fldChar w:fldCharType="end"/>
      </w:r>
      <w:r w:rsidRPr="00A1711E">
        <w:rPr>
          <w:rFonts w:ascii="Times New Roman" w:hAnsi="Times New Roman" w:cs="Times New Roman"/>
          <w:sz w:val="24"/>
          <w:szCs w:val="24"/>
        </w:rPr>
        <w:t>,</w:t>
      </w:r>
      <w:r w:rsidR="0069004A" w:rsidRPr="00A1711E">
        <w:rPr>
          <w:rFonts w:ascii="Times New Roman" w:hAnsi="Times New Roman" w:cs="Times New Roman"/>
          <w:sz w:val="24"/>
          <w:szCs w:val="24"/>
        </w:rPr>
        <w:t xml:space="preserve"> </w:t>
      </w:r>
      <w:r w:rsidR="0069004A" w:rsidRPr="00A1711E">
        <w:rPr>
          <w:rFonts w:ascii="Times New Roman" w:hAnsi="Times New Roman" w:cs="Times New Roman"/>
          <w:sz w:val="24"/>
          <w:szCs w:val="24"/>
        </w:rPr>
        <w:fldChar w:fldCharType="begin" w:fldLock="1"/>
      </w:r>
      <w:r w:rsidR="0069004A" w:rsidRPr="00A1711E">
        <w:rPr>
          <w:rFonts w:ascii="Times New Roman" w:hAnsi="Times New Roman" w:cs="Times New Roman"/>
          <w:sz w:val="24"/>
          <w:szCs w:val="24"/>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69004A" w:rsidRPr="00A1711E">
        <w:rPr>
          <w:rFonts w:ascii="Times New Roman" w:hAnsi="Times New Roman" w:cs="Times New Roman"/>
          <w:sz w:val="24"/>
          <w:szCs w:val="24"/>
        </w:rPr>
        <w:fldChar w:fldCharType="separate"/>
      </w:r>
      <w:r w:rsidR="0069004A" w:rsidRPr="00A1711E">
        <w:rPr>
          <w:rFonts w:ascii="Times New Roman" w:hAnsi="Times New Roman" w:cs="Times New Roman"/>
          <w:noProof/>
          <w:sz w:val="24"/>
          <w:szCs w:val="24"/>
        </w:rPr>
        <w:t>(Debora, 2020)</w:t>
      </w:r>
      <w:r w:rsidR="0069004A" w:rsidRPr="00A1711E">
        <w:rPr>
          <w:rFonts w:ascii="Times New Roman" w:hAnsi="Times New Roman" w:cs="Times New Roman"/>
          <w:sz w:val="24"/>
          <w:szCs w:val="24"/>
        </w:rPr>
        <w:fldChar w:fldCharType="end"/>
      </w:r>
      <w:r w:rsidR="0069004A" w:rsidRPr="00A1711E">
        <w:rPr>
          <w:rFonts w:ascii="Times New Roman" w:hAnsi="Times New Roman" w:cs="Times New Roman"/>
          <w:sz w:val="24"/>
          <w:szCs w:val="24"/>
        </w:rPr>
        <w:t xml:space="preserve">, </w:t>
      </w:r>
      <w:r w:rsidR="0069004A" w:rsidRPr="00A1711E">
        <w:rPr>
          <w:rFonts w:ascii="Times New Roman" w:hAnsi="Times New Roman" w:cs="Times New Roman"/>
          <w:sz w:val="24"/>
          <w:szCs w:val="24"/>
        </w:rPr>
        <w:fldChar w:fldCharType="begin" w:fldLock="1"/>
      </w:r>
      <w:r w:rsidR="0069004A" w:rsidRPr="00A1711E">
        <w:rPr>
          <w:rFonts w:ascii="Times New Roman" w:hAnsi="Times New Roman" w:cs="Times New Roman"/>
          <w:sz w:val="24"/>
          <w:szCs w:val="24"/>
        </w:rPr>
        <w:instrText>ADDIN CSL_CITATION {"citationItems":[{"id":"ITEM-1","itemData":{"DOI":"10.37339/e-bis.v4i1.239","ISSN":"2580-2062","abstract":"Penelitian ini bertujuan untuk mengetahui seberapa besar pengaruh Net Interest Margin (NIM) terhadap Return on Asset (ROA) pada PT Bank Pembangunan Daerah Jawa Barat Dan Banten periode 2013-2017. Metode penelitian yang digunakan adalah metode deskriptif dan kuantitatif. Teknik analisis data yang digunakan adalah Koefisien Korelasi Pearson Product Moment dan Koefisien Determinasi. Teknik pengumpulan data yang digunakan adalah studi dokumentasi laporan keuangan periode 2013-2017. Berdasarkan hasil penelitian menunjukkan hubungan antara Net Interest Margin (NIM) terhadap Return on Asset (ROA) sebesar 0,929 yang artinya memiliki hubungan yang sangat kuat. Nilai Koefisien Determinasi menunjukkan Net Interest Margin (NIM) berpengaruh 86,2% terhadap Return on Asset  (ROA) dan 13,8% dipengaruhi oleh variabel lain. Saran untuk penelitian ini adalah pihak perusahaan harus melakukan upaya peningkatan pemberian kredit untuk memaksimalkan laba yang diperoleh sehingga dapat meningkatkan nilai ROA.","author":[{"dropping-particle":"","family":"Indrawan","given":"Bisma","non-dropping-particle":"","parse-names":false,"suffix":""},{"dropping-particle":"","family":"Kaniawati Dewi","given":"Rina","non-dropping-particle":"","parse-names":false,"suffix":""}],"container-title":"Jurnal E-Bis (Ekonomi-Bisnis)","id":"ITEM-1","issue":"1","issued":{"date-parts":[["2020"]]},"page":"78-87","title":"Pengaruh Net Interest Margin (NIM) Terhadap Return on Asset (ROA) Pada PT Bank Pembangunan Daerah Jawa Barat Dan Banten Tbk Periode 2013-2017","type":"article-journal","volume":"4"},"uris":["http://www.mendeley.com/documents/?uuid=e60c1129-ffdb-4923-98f4-bdd3317b3db9"]}],"mendeley":{"formattedCitation":"(Indrawan &amp; Kaniawati Dewi, 2020)","plainTextFormattedCitation":"(Indrawan &amp; Kaniawati Dewi, 2020)","previouslyFormattedCitation":"(Indrawan &amp; Kaniawati Dewi, 2020)"},"properties":{"noteIndex":0},"schema":"https://github.com/citation-style-language/schema/raw/master/csl-citation.json"}</w:instrText>
      </w:r>
      <w:r w:rsidR="0069004A" w:rsidRPr="00A1711E">
        <w:rPr>
          <w:rFonts w:ascii="Times New Roman" w:hAnsi="Times New Roman" w:cs="Times New Roman"/>
          <w:sz w:val="24"/>
          <w:szCs w:val="24"/>
        </w:rPr>
        <w:fldChar w:fldCharType="separate"/>
      </w:r>
      <w:r w:rsidR="0069004A" w:rsidRPr="00A1711E">
        <w:rPr>
          <w:rFonts w:ascii="Times New Roman" w:hAnsi="Times New Roman" w:cs="Times New Roman"/>
          <w:noProof/>
          <w:sz w:val="24"/>
          <w:szCs w:val="24"/>
        </w:rPr>
        <w:t>(Indrawan &amp; Kaniawati Dewi, 2020)</w:t>
      </w:r>
      <w:r w:rsidR="0069004A" w:rsidRPr="00A1711E">
        <w:rPr>
          <w:rFonts w:ascii="Times New Roman" w:hAnsi="Times New Roman" w:cs="Times New Roman"/>
          <w:sz w:val="24"/>
          <w:szCs w:val="24"/>
        </w:rPr>
        <w:fldChar w:fldCharType="end"/>
      </w:r>
      <w:r w:rsidR="0069004A" w:rsidRPr="006221A3">
        <w:rPr>
          <w:rFonts w:ascii="Times New Roman" w:hAnsi="Times New Roman" w:cs="Times New Roman"/>
          <w:sz w:val="24"/>
          <w:szCs w:val="24"/>
        </w:rPr>
        <w:t>,</w:t>
      </w:r>
      <w:r w:rsidR="00B311EC" w:rsidRPr="006221A3">
        <w:rPr>
          <w:rFonts w:ascii="Times New Roman" w:hAnsi="Times New Roman" w:cs="Times New Roman"/>
          <w:sz w:val="24"/>
          <w:szCs w:val="24"/>
        </w:rPr>
        <w:t xml:space="preserve"> (Setyaningsih et al., 2023), </w:t>
      </w:r>
      <w:r w:rsidR="005047A2" w:rsidRPr="006221A3">
        <w:rPr>
          <w:rFonts w:ascii="Times New Roman" w:hAnsi="Times New Roman" w:cs="Times New Roman"/>
          <w:sz w:val="24"/>
          <w:szCs w:val="24"/>
        </w:rPr>
        <w:t>(Rosandy &amp; Sha, 2022)</w:t>
      </w:r>
      <w:r w:rsidR="00EE4D70" w:rsidRPr="006221A3">
        <w:rPr>
          <w:rFonts w:ascii="Times New Roman" w:hAnsi="Times New Roman" w:cs="Times New Roman"/>
          <w:sz w:val="24"/>
          <w:szCs w:val="24"/>
        </w:rPr>
        <w:t>, (Septiyani et al., 2022), (Fasha &amp; Cherudin, 2021)</w:t>
      </w:r>
      <w:r w:rsidR="0069004A" w:rsidRPr="006221A3">
        <w:rPr>
          <w:rFonts w:ascii="Times New Roman" w:hAnsi="Times New Roman" w:cs="Times New Roman"/>
          <w:sz w:val="24"/>
          <w:szCs w:val="24"/>
        </w:rPr>
        <w:t xml:space="preserve"> </w:t>
      </w:r>
      <w:r w:rsidRPr="006221A3">
        <w:rPr>
          <w:rFonts w:ascii="Times New Roman" w:hAnsi="Times New Roman" w:cs="Times New Roman"/>
          <w:sz w:val="24"/>
          <w:szCs w:val="24"/>
        </w:rPr>
        <w:t xml:space="preserve">yang menunjukan hasil penelitian bahwa </w:t>
      </w:r>
      <w:r w:rsidR="008E51A9" w:rsidRPr="00A1711E">
        <w:rPr>
          <w:rFonts w:ascii="Times New Roman" w:hAnsi="Times New Roman" w:cs="Times New Roman"/>
          <w:i/>
          <w:sz w:val="24"/>
          <w:szCs w:val="24"/>
        </w:rPr>
        <w:t>Net Interest Margin</w:t>
      </w:r>
      <w:r w:rsidR="008E51A9">
        <w:rPr>
          <w:rFonts w:ascii="Times New Roman" w:hAnsi="Times New Roman" w:cs="Times New Roman"/>
          <w:sz w:val="24"/>
          <w:szCs w:val="24"/>
        </w:rPr>
        <w:t xml:space="preserve"> (NIM)</w:t>
      </w:r>
      <w:r w:rsidR="001373DB" w:rsidRPr="006221A3">
        <w:rPr>
          <w:rFonts w:ascii="Times New Roman" w:hAnsi="Times New Roman" w:cs="Times New Roman"/>
          <w:sz w:val="24"/>
          <w:szCs w:val="24"/>
        </w:rPr>
        <w:t xml:space="preserve"> </w:t>
      </w:r>
      <w:r w:rsidRPr="006221A3">
        <w:rPr>
          <w:rFonts w:ascii="Times New Roman" w:hAnsi="Times New Roman" w:cs="Times New Roman"/>
          <w:sz w:val="24"/>
          <w:szCs w:val="24"/>
        </w:rPr>
        <w:t xml:space="preserve">memiliki pengaruh positif </w:t>
      </w:r>
      <w:r w:rsidR="0069004A" w:rsidRPr="006221A3">
        <w:rPr>
          <w:rFonts w:ascii="Times New Roman" w:hAnsi="Times New Roman" w:cs="Times New Roman"/>
          <w:sz w:val="24"/>
          <w:szCs w:val="24"/>
        </w:rPr>
        <w:t>dan</w:t>
      </w:r>
      <w:r w:rsidRPr="006221A3">
        <w:rPr>
          <w:rFonts w:ascii="Times New Roman" w:hAnsi="Times New Roman" w:cs="Times New Roman"/>
          <w:sz w:val="24"/>
          <w:szCs w:val="24"/>
        </w:rPr>
        <w:t xml:space="preserve"> s</w:t>
      </w:r>
      <w:r w:rsidR="0069004A" w:rsidRPr="006221A3">
        <w:rPr>
          <w:rFonts w:ascii="Times New Roman" w:hAnsi="Times New Roman" w:cs="Times New Roman"/>
          <w:sz w:val="24"/>
          <w:szCs w:val="24"/>
        </w:rPr>
        <w:t>i</w:t>
      </w:r>
      <w:r w:rsidRPr="006221A3">
        <w:rPr>
          <w:rFonts w:ascii="Times New Roman" w:hAnsi="Times New Roman" w:cs="Times New Roman"/>
          <w:sz w:val="24"/>
          <w:szCs w:val="24"/>
        </w:rPr>
        <w:t xml:space="preserve">ginifikan terhadap </w:t>
      </w:r>
      <w:r w:rsidR="008E51A9" w:rsidRPr="00D507E5">
        <w:rPr>
          <w:rFonts w:ascii="Times New Roman" w:hAnsi="Times New Roman" w:cs="Times New Roman"/>
          <w:i/>
          <w:sz w:val="24"/>
          <w:szCs w:val="24"/>
        </w:rPr>
        <w:t>Return on Asset</w:t>
      </w:r>
      <w:r w:rsidR="008E51A9">
        <w:rPr>
          <w:rFonts w:ascii="Times New Roman" w:hAnsi="Times New Roman" w:cs="Times New Roman"/>
          <w:sz w:val="24"/>
          <w:szCs w:val="24"/>
        </w:rPr>
        <w:t xml:space="preserve"> (ROA)</w:t>
      </w:r>
      <w:r w:rsidRPr="006221A3">
        <w:rPr>
          <w:rFonts w:ascii="Times New Roman" w:hAnsi="Times New Roman" w:cs="Times New Roman"/>
          <w:sz w:val="24"/>
          <w:szCs w:val="24"/>
        </w:rPr>
        <w:t>.</w:t>
      </w:r>
    </w:p>
    <w:p w:rsidR="00ED1C0F" w:rsidRPr="00B20300" w:rsidRDefault="00ED1C0F" w:rsidP="00B20300">
      <w:pPr>
        <w:spacing w:line="480" w:lineRule="auto"/>
        <w:jc w:val="both"/>
        <w:rPr>
          <w:rFonts w:ascii="Times New Roman" w:hAnsi="Times New Roman" w:cs="Times New Roman"/>
          <w:sz w:val="24"/>
          <w:szCs w:val="24"/>
        </w:rPr>
      </w:pPr>
    </w:p>
    <w:p w:rsidR="00A863A6" w:rsidRPr="00B20300" w:rsidRDefault="00A863A6" w:rsidP="00B20300">
      <w:pPr>
        <w:spacing w:line="480" w:lineRule="auto"/>
        <w:ind w:left="709" w:hanging="709"/>
        <w:jc w:val="both"/>
        <w:rPr>
          <w:rFonts w:ascii="Times New Roman" w:hAnsi="Times New Roman" w:cs="Times New Roman"/>
          <w:sz w:val="24"/>
          <w:szCs w:val="24"/>
          <w:lang w:eastAsia="id-ID"/>
        </w:rPr>
      </w:pPr>
    </w:p>
    <w:p w:rsidR="00173A58" w:rsidRDefault="00173A58">
      <w:pPr>
        <w:rPr>
          <w:rFonts w:ascii="Times New Roman" w:hAnsi="Times New Roman" w:cs="Times New Roman"/>
          <w:sz w:val="24"/>
          <w:szCs w:val="24"/>
          <w:lang w:eastAsia="id-ID"/>
        </w:rPr>
      </w:pPr>
      <w:r>
        <w:rPr>
          <w:rFonts w:ascii="Times New Roman" w:hAnsi="Times New Roman" w:cs="Times New Roman"/>
          <w:sz w:val="24"/>
          <w:szCs w:val="24"/>
          <w:lang w:eastAsia="id-ID"/>
        </w:rPr>
        <w:br w:type="page"/>
      </w:r>
    </w:p>
    <w:p w:rsidR="00B90CC1" w:rsidRPr="006773D8" w:rsidRDefault="00173A58" w:rsidP="00173A58">
      <w:pPr>
        <w:spacing w:line="480" w:lineRule="auto"/>
        <w:jc w:val="center"/>
        <w:rPr>
          <w:rFonts w:ascii="Times New Roman" w:hAnsi="Times New Roman" w:cs="Times New Roman"/>
          <w:b/>
          <w:sz w:val="24"/>
          <w:szCs w:val="24"/>
          <w:lang w:eastAsia="id-ID"/>
        </w:rPr>
      </w:pPr>
      <w:r w:rsidRPr="006773D8">
        <w:rPr>
          <w:rFonts w:ascii="Times New Roman" w:hAnsi="Times New Roman" w:cs="Times New Roman"/>
          <w:b/>
          <w:sz w:val="24"/>
          <w:szCs w:val="24"/>
          <w:lang w:eastAsia="id-ID"/>
        </w:rPr>
        <w:lastRenderedPageBreak/>
        <w:t>BAB V</w:t>
      </w:r>
    </w:p>
    <w:p w:rsidR="00173A58" w:rsidRPr="006773D8" w:rsidRDefault="00173A58" w:rsidP="00173A58">
      <w:pPr>
        <w:spacing w:line="480" w:lineRule="auto"/>
        <w:jc w:val="center"/>
        <w:rPr>
          <w:rFonts w:ascii="Times New Roman" w:hAnsi="Times New Roman" w:cs="Times New Roman"/>
          <w:b/>
          <w:sz w:val="24"/>
          <w:szCs w:val="24"/>
          <w:lang w:eastAsia="id-ID"/>
        </w:rPr>
      </w:pPr>
      <w:r w:rsidRPr="006773D8">
        <w:rPr>
          <w:rFonts w:ascii="Times New Roman" w:hAnsi="Times New Roman" w:cs="Times New Roman"/>
          <w:b/>
          <w:sz w:val="24"/>
          <w:szCs w:val="24"/>
          <w:lang w:eastAsia="id-ID"/>
        </w:rPr>
        <w:t>KESIMPULAN DAN SARAN</w:t>
      </w:r>
    </w:p>
    <w:p w:rsidR="00173A58" w:rsidRPr="006773D8" w:rsidRDefault="00173A58" w:rsidP="00173A58">
      <w:pPr>
        <w:spacing w:line="480" w:lineRule="auto"/>
        <w:rPr>
          <w:rFonts w:ascii="Times New Roman" w:hAnsi="Times New Roman" w:cs="Times New Roman"/>
          <w:b/>
          <w:sz w:val="24"/>
          <w:szCs w:val="24"/>
          <w:lang w:eastAsia="id-ID"/>
        </w:rPr>
      </w:pPr>
      <w:r w:rsidRPr="006773D8">
        <w:rPr>
          <w:rFonts w:ascii="Times New Roman" w:hAnsi="Times New Roman" w:cs="Times New Roman"/>
          <w:b/>
          <w:sz w:val="24"/>
          <w:szCs w:val="24"/>
          <w:lang w:eastAsia="id-ID"/>
        </w:rPr>
        <w:t>5.1</w:t>
      </w:r>
      <w:r w:rsidRPr="006773D8">
        <w:rPr>
          <w:rFonts w:ascii="Times New Roman" w:hAnsi="Times New Roman" w:cs="Times New Roman"/>
          <w:b/>
          <w:sz w:val="24"/>
          <w:szCs w:val="24"/>
          <w:lang w:eastAsia="id-ID"/>
        </w:rPr>
        <w:tab/>
        <w:t>Kesimpulan</w:t>
      </w:r>
    </w:p>
    <w:p w:rsidR="00173A58" w:rsidRDefault="00173A58" w:rsidP="00173A58">
      <w:pPr>
        <w:spacing w:line="480" w:lineRule="auto"/>
        <w:rPr>
          <w:rFonts w:ascii="Times New Roman" w:hAnsi="Times New Roman" w:cs="Times New Roman"/>
          <w:sz w:val="24"/>
          <w:szCs w:val="24"/>
          <w:lang w:eastAsia="id-ID"/>
        </w:rPr>
      </w:pPr>
      <w:r>
        <w:rPr>
          <w:rFonts w:ascii="Times New Roman" w:hAnsi="Times New Roman" w:cs="Times New Roman"/>
          <w:sz w:val="24"/>
          <w:szCs w:val="24"/>
          <w:lang w:eastAsia="id-ID"/>
        </w:rPr>
        <w:tab/>
      </w:r>
      <w:r w:rsidR="00683AE3">
        <w:rPr>
          <w:rFonts w:ascii="Times New Roman" w:hAnsi="Times New Roman" w:cs="Times New Roman"/>
          <w:sz w:val="24"/>
          <w:szCs w:val="24"/>
          <w:lang w:eastAsia="id-ID"/>
        </w:rPr>
        <w:t>Berdasarkan hasil penelitian dan pembahasan yang telah dik</w:t>
      </w:r>
      <w:r w:rsidR="00DB0315">
        <w:rPr>
          <w:rFonts w:ascii="Times New Roman" w:hAnsi="Times New Roman" w:cs="Times New Roman"/>
          <w:sz w:val="24"/>
          <w:szCs w:val="24"/>
          <w:lang w:eastAsia="id-ID"/>
        </w:rPr>
        <w:t>emukakan pada bagian sebelumnya, maka selanjutnya dapat diambil kesimpulan sebagai berikut :</w:t>
      </w:r>
      <w:r w:rsidR="00683AE3">
        <w:rPr>
          <w:rFonts w:ascii="Times New Roman" w:hAnsi="Times New Roman" w:cs="Times New Roman"/>
          <w:sz w:val="24"/>
          <w:szCs w:val="24"/>
          <w:lang w:eastAsia="id-ID"/>
        </w:rPr>
        <w:t xml:space="preserve"> </w:t>
      </w:r>
    </w:p>
    <w:p w:rsidR="00EA4380" w:rsidRPr="00B55BED" w:rsidRDefault="006E52C9" w:rsidP="00B55BED">
      <w:pPr>
        <w:pStyle w:val="ListParagraph"/>
        <w:numPr>
          <w:ilvl w:val="0"/>
          <w:numId w:val="17"/>
        </w:numPr>
        <w:spacing w:line="480" w:lineRule="auto"/>
        <w:jc w:val="both"/>
        <w:rPr>
          <w:rFonts w:ascii="Times New Roman" w:hAnsi="Times New Roman" w:cs="Times New Roman"/>
          <w:sz w:val="24"/>
          <w:szCs w:val="24"/>
          <w:lang w:eastAsia="id-ID"/>
        </w:rPr>
      </w:pPr>
      <w:r>
        <w:rPr>
          <w:rFonts w:ascii="Times New Roman" w:hAnsi="Times New Roman" w:cs="Times New Roman"/>
          <w:sz w:val="24"/>
          <w:szCs w:val="24"/>
          <w:lang w:eastAsia="id-ID"/>
        </w:rPr>
        <w:t xml:space="preserve">Data </w:t>
      </w:r>
      <w:r w:rsidRPr="00CE3AB2">
        <w:rPr>
          <w:rFonts w:ascii="Times New Roman" w:hAnsi="Times New Roman" w:cs="Times New Roman"/>
          <w:i/>
          <w:sz w:val="24"/>
          <w:szCs w:val="24"/>
          <w:lang w:eastAsia="id-ID"/>
        </w:rPr>
        <w:t xml:space="preserve">Loan to Deposit Ratio </w:t>
      </w:r>
      <w:r>
        <w:rPr>
          <w:rFonts w:ascii="Times New Roman" w:hAnsi="Times New Roman" w:cs="Times New Roman"/>
          <w:sz w:val="24"/>
          <w:szCs w:val="24"/>
          <w:lang w:eastAsia="id-ID"/>
        </w:rPr>
        <w:t>(LDR) pada perusahaan perbankan yang terdaftar di Bursa Efek Indonesia periode 2018 – 2022 dari tahun ke tahun m</w:t>
      </w:r>
      <w:r w:rsidR="009D4EC2">
        <w:rPr>
          <w:rFonts w:ascii="Times New Roman" w:hAnsi="Times New Roman" w:cs="Times New Roman"/>
          <w:sz w:val="24"/>
          <w:szCs w:val="24"/>
          <w:lang w:eastAsia="id-ID"/>
        </w:rPr>
        <w:t>engalami kenaikan dan penurunan. Kenaikan tertinggi dimiliki oleh perusahaan perban</w:t>
      </w:r>
      <w:r w:rsidR="00CF7FB0">
        <w:rPr>
          <w:rFonts w:ascii="Times New Roman" w:hAnsi="Times New Roman" w:cs="Times New Roman"/>
          <w:sz w:val="24"/>
          <w:szCs w:val="24"/>
          <w:lang w:eastAsia="id-ID"/>
        </w:rPr>
        <w:t xml:space="preserve">kan dengan kode perusahaan BBYB, dengan hasil presentase sebesar </w:t>
      </w:r>
      <w:r w:rsidR="0024642B" w:rsidRPr="0024642B">
        <w:rPr>
          <w:rFonts w:ascii="Times New Roman" w:hAnsi="Times New Roman" w:cs="Times New Roman"/>
          <w:sz w:val="24"/>
          <w:szCs w:val="24"/>
          <w:lang w:eastAsia="id-ID"/>
        </w:rPr>
        <w:t>224,01%</w:t>
      </w:r>
      <w:r w:rsidR="0024642B">
        <w:rPr>
          <w:rFonts w:ascii="Times New Roman" w:hAnsi="Times New Roman" w:cs="Times New Roman"/>
          <w:sz w:val="24"/>
          <w:szCs w:val="24"/>
          <w:lang w:eastAsia="id-ID"/>
        </w:rPr>
        <w:t xml:space="preserve"> tercatat pada tahun 2021. Kemudian untuk penurunan terendah dimiliki </w:t>
      </w:r>
      <w:r w:rsidR="00EA4380">
        <w:rPr>
          <w:rFonts w:ascii="Times New Roman" w:hAnsi="Times New Roman" w:cs="Times New Roman"/>
          <w:sz w:val="24"/>
          <w:szCs w:val="24"/>
          <w:lang w:eastAsia="id-ID"/>
        </w:rPr>
        <w:t xml:space="preserve">oleh perusahaan perbankan dengan kode perusahaan BACA, dengan hasil presentase sebesar </w:t>
      </w:r>
      <w:r w:rsidR="00EA4380" w:rsidRPr="00EA4380">
        <w:rPr>
          <w:rFonts w:ascii="Times New Roman" w:hAnsi="Times New Roman" w:cs="Times New Roman"/>
          <w:sz w:val="24"/>
          <w:szCs w:val="24"/>
          <w:lang w:eastAsia="id-ID"/>
        </w:rPr>
        <w:t>12,35%</w:t>
      </w:r>
      <w:r w:rsidR="00EA4380">
        <w:rPr>
          <w:rFonts w:ascii="Times New Roman" w:hAnsi="Times New Roman" w:cs="Times New Roman"/>
          <w:sz w:val="24"/>
          <w:szCs w:val="24"/>
          <w:lang w:eastAsia="id-ID"/>
        </w:rPr>
        <w:t xml:space="preserve"> yang tercatat pada tahun 2021.</w:t>
      </w:r>
      <w:r w:rsidR="004632E5">
        <w:t xml:space="preserve"> </w:t>
      </w:r>
      <w:r w:rsidR="000172BC" w:rsidRPr="00B55BED">
        <w:rPr>
          <w:rFonts w:ascii="Times New Roman" w:hAnsi="Times New Roman" w:cs="Times New Roman"/>
          <w:sz w:val="24"/>
          <w:szCs w:val="24"/>
        </w:rPr>
        <w:t>Ha</w:t>
      </w:r>
      <w:r w:rsidR="00BB47EC" w:rsidRPr="00B55BED">
        <w:rPr>
          <w:rFonts w:ascii="Times New Roman" w:hAnsi="Times New Roman" w:cs="Times New Roman"/>
          <w:sz w:val="24"/>
          <w:szCs w:val="24"/>
        </w:rPr>
        <w:t>s</w:t>
      </w:r>
      <w:r w:rsidR="000172BC" w:rsidRPr="00B55BED">
        <w:rPr>
          <w:rFonts w:ascii="Times New Roman" w:hAnsi="Times New Roman" w:cs="Times New Roman"/>
          <w:sz w:val="24"/>
          <w:szCs w:val="24"/>
        </w:rPr>
        <w:t xml:space="preserve">il penelitian yang sudah </w:t>
      </w:r>
      <w:r w:rsidR="00BB47EC" w:rsidRPr="00B55BED">
        <w:rPr>
          <w:rFonts w:ascii="Times New Roman" w:hAnsi="Times New Roman" w:cs="Times New Roman"/>
          <w:sz w:val="24"/>
          <w:szCs w:val="24"/>
        </w:rPr>
        <w:t>di analisis menggunakan regresi data p</w:t>
      </w:r>
      <w:r w:rsidR="00D01FEB" w:rsidRPr="00B55BED">
        <w:rPr>
          <w:rFonts w:ascii="Times New Roman" w:hAnsi="Times New Roman" w:cs="Times New Roman"/>
          <w:sz w:val="24"/>
          <w:szCs w:val="24"/>
        </w:rPr>
        <w:t xml:space="preserve">anel menunjukan bahwa variabel </w:t>
      </w:r>
      <w:r w:rsidR="00D01FEB" w:rsidRPr="00B55BED">
        <w:rPr>
          <w:rFonts w:ascii="Times New Roman" w:hAnsi="Times New Roman" w:cs="Times New Roman"/>
          <w:i/>
          <w:sz w:val="24"/>
          <w:szCs w:val="24"/>
        </w:rPr>
        <w:t>Loan to Deposit Ratio</w:t>
      </w:r>
      <w:r w:rsidR="00D01FEB" w:rsidRPr="00B55BED">
        <w:rPr>
          <w:rFonts w:ascii="Times New Roman" w:hAnsi="Times New Roman" w:cs="Times New Roman"/>
          <w:sz w:val="24"/>
          <w:szCs w:val="24"/>
        </w:rPr>
        <w:t xml:space="preserve"> (LDR) (X1) </w:t>
      </w:r>
      <w:r w:rsidR="00D01FEB" w:rsidRPr="00B55BED">
        <w:rPr>
          <w:rFonts w:ascii="Times New Roman" w:hAnsi="Times New Roman" w:cs="Times New Roman"/>
          <w:sz w:val="24"/>
          <w:szCs w:val="24"/>
        </w:rPr>
        <w:t>berpengaruh negatif dan signifikan</w:t>
      </w:r>
      <w:r w:rsidR="00D01FEB" w:rsidRPr="00B55BED">
        <w:rPr>
          <w:rFonts w:ascii="Times New Roman" w:hAnsi="Times New Roman" w:cs="Times New Roman"/>
          <w:sz w:val="24"/>
          <w:szCs w:val="24"/>
        </w:rPr>
        <w:t xml:space="preserve"> terhadap variabel </w:t>
      </w:r>
      <w:r w:rsidR="00D01FEB" w:rsidRPr="00B55BED">
        <w:rPr>
          <w:rFonts w:ascii="Times New Roman" w:hAnsi="Times New Roman" w:cs="Times New Roman"/>
          <w:i/>
          <w:sz w:val="24"/>
          <w:szCs w:val="24"/>
        </w:rPr>
        <w:t>Return on Asset</w:t>
      </w:r>
      <w:r w:rsidR="00D01FEB" w:rsidRPr="00B55BED">
        <w:rPr>
          <w:rFonts w:ascii="Times New Roman" w:hAnsi="Times New Roman" w:cs="Times New Roman"/>
          <w:sz w:val="24"/>
          <w:szCs w:val="24"/>
        </w:rPr>
        <w:t xml:space="preserve"> (ROA) (Y)</w:t>
      </w:r>
      <w:r w:rsidR="00B55BED" w:rsidRPr="00B55BED">
        <w:rPr>
          <w:rFonts w:ascii="Times New Roman" w:hAnsi="Times New Roman" w:cs="Times New Roman"/>
          <w:sz w:val="24"/>
          <w:szCs w:val="24"/>
        </w:rPr>
        <w:t>.</w:t>
      </w:r>
    </w:p>
    <w:p w:rsidR="00CE3AB2" w:rsidRPr="006773D8" w:rsidRDefault="00CE3AB2" w:rsidP="006773D8">
      <w:pPr>
        <w:pStyle w:val="ListParagraph"/>
        <w:numPr>
          <w:ilvl w:val="0"/>
          <w:numId w:val="17"/>
        </w:numPr>
        <w:spacing w:line="480" w:lineRule="auto"/>
        <w:jc w:val="both"/>
        <w:rPr>
          <w:rFonts w:ascii="Times New Roman" w:hAnsi="Times New Roman" w:cs="Times New Roman"/>
          <w:sz w:val="24"/>
          <w:szCs w:val="24"/>
          <w:lang w:eastAsia="id-ID"/>
        </w:rPr>
      </w:pPr>
      <w:r>
        <w:rPr>
          <w:rFonts w:ascii="Times New Roman" w:hAnsi="Times New Roman" w:cs="Times New Roman"/>
          <w:sz w:val="24"/>
          <w:szCs w:val="24"/>
          <w:lang w:eastAsia="id-ID"/>
        </w:rPr>
        <w:t xml:space="preserve">Data </w:t>
      </w:r>
      <w:r>
        <w:rPr>
          <w:rFonts w:ascii="Times New Roman" w:hAnsi="Times New Roman" w:cs="Times New Roman"/>
          <w:i/>
          <w:sz w:val="24"/>
          <w:szCs w:val="24"/>
          <w:lang w:eastAsia="id-ID"/>
        </w:rPr>
        <w:t xml:space="preserve">Net Interest Margin </w:t>
      </w:r>
      <w:r>
        <w:rPr>
          <w:rFonts w:ascii="Times New Roman" w:hAnsi="Times New Roman" w:cs="Times New Roman"/>
          <w:sz w:val="24"/>
          <w:szCs w:val="24"/>
          <w:lang w:eastAsia="id-ID"/>
        </w:rPr>
        <w:t xml:space="preserve">(NIM) </w:t>
      </w:r>
      <w:r>
        <w:rPr>
          <w:rFonts w:ascii="Times New Roman" w:hAnsi="Times New Roman" w:cs="Times New Roman"/>
          <w:sz w:val="24"/>
          <w:szCs w:val="24"/>
          <w:lang w:eastAsia="id-ID"/>
        </w:rPr>
        <w:t xml:space="preserve">pada perusahaan perbankan yang terdaftar di Bursa Efek Indonesia periode 2018 – 2022 dari tahun ke tahun mengalami kenaikan dan penurunan. Kenaikan tertinggi dimiliki oleh perusahaan perbankan dengan kode perusahaan BBYB, dengan hasil presentase sebesar </w:t>
      </w:r>
      <w:r w:rsidR="003F2E69" w:rsidRPr="003F2E69">
        <w:rPr>
          <w:rFonts w:ascii="Times New Roman" w:hAnsi="Times New Roman" w:cs="Times New Roman"/>
          <w:sz w:val="24"/>
          <w:szCs w:val="24"/>
          <w:lang w:eastAsia="id-ID"/>
        </w:rPr>
        <w:t>13,83%</w:t>
      </w:r>
      <w:r w:rsidR="003F2E69">
        <w:rPr>
          <w:rFonts w:ascii="Times New Roman" w:hAnsi="Times New Roman" w:cs="Times New Roman"/>
          <w:sz w:val="24"/>
          <w:szCs w:val="24"/>
          <w:lang w:eastAsia="id-ID"/>
        </w:rPr>
        <w:t xml:space="preserve"> </w:t>
      </w:r>
      <w:r w:rsidRPr="003F2E69">
        <w:rPr>
          <w:rFonts w:ascii="Times New Roman" w:hAnsi="Times New Roman" w:cs="Times New Roman"/>
          <w:sz w:val="24"/>
          <w:szCs w:val="24"/>
          <w:lang w:eastAsia="id-ID"/>
        </w:rPr>
        <w:t>tercatat pada tahun 202</w:t>
      </w:r>
      <w:r w:rsidR="003F2E69" w:rsidRPr="003F2E69">
        <w:rPr>
          <w:rFonts w:ascii="Times New Roman" w:hAnsi="Times New Roman" w:cs="Times New Roman"/>
          <w:sz w:val="24"/>
          <w:szCs w:val="24"/>
          <w:lang w:eastAsia="id-ID"/>
        </w:rPr>
        <w:t>2</w:t>
      </w:r>
      <w:r w:rsidRPr="003F2E69">
        <w:rPr>
          <w:rFonts w:ascii="Times New Roman" w:hAnsi="Times New Roman" w:cs="Times New Roman"/>
          <w:sz w:val="24"/>
          <w:szCs w:val="24"/>
          <w:lang w:eastAsia="id-ID"/>
        </w:rPr>
        <w:t xml:space="preserve">. Kemudian untuk </w:t>
      </w:r>
      <w:r w:rsidRPr="003F2E69">
        <w:rPr>
          <w:rFonts w:ascii="Times New Roman" w:hAnsi="Times New Roman" w:cs="Times New Roman"/>
          <w:sz w:val="24"/>
          <w:szCs w:val="24"/>
          <w:lang w:eastAsia="id-ID"/>
        </w:rPr>
        <w:lastRenderedPageBreak/>
        <w:t xml:space="preserve">penurunan terendah dimiliki oleh perusahaan perbankan dengan kode perusahaan BACA, dengan hasil presentase sebesar </w:t>
      </w:r>
      <w:r w:rsidR="001A06A9" w:rsidRPr="001A06A9">
        <w:rPr>
          <w:rFonts w:ascii="Times New Roman" w:hAnsi="Times New Roman" w:cs="Times New Roman"/>
          <w:sz w:val="24"/>
          <w:szCs w:val="24"/>
          <w:lang w:eastAsia="id-ID"/>
        </w:rPr>
        <w:t>-3,52%</w:t>
      </w:r>
      <w:r w:rsidR="001A06A9">
        <w:rPr>
          <w:rFonts w:ascii="Times New Roman" w:hAnsi="Times New Roman" w:cs="Times New Roman"/>
          <w:sz w:val="24"/>
          <w:szCs w:val="24"/>
          <w:lang w:eastAsia="id-ID"/>
        </w:rPr>
        <w:t xml:space="preserve"> </w:t>
      </w:r>
      <w:r w:rsidRPr="001A06A9">
        <w:rPr>
          <w:rFonts w:ascii="Times New Roman" w:hAnsi="Times New Roman" w:cs="Times New Roman"/>
          <w:sz w:val="24"/>
          <w:szCs w:val="24"/>
          <w:lang w:eastAsia="id-ID"/>
        </w:rPr>
        <w:t>yang tercatat pada tahun 2021.</w:t>
      </w:r>
      <w:r w:rsidR="006773D8">
        <w:rPr>
          <w:rFonts w:ascii="Times New Roman" w:hAnsi="Times New Roman" w:cs="Times New Roman"/>
          <w:sz w:val="24"/>
          <w:szCs w:val="24"/>
          <w:lang w:eastAsia="id-ID"/>
        </w:rPr>
        <w:t xml:space="preserve"> </w:t>
      </w:r>
      <w:r w:rsidR="006773D8" w:rsidRPr="00B55BED">
        <w:rPr>
          <w:rFonts w:ascii="Times New Roman" w:hAnsi="Times New Roman" w:cs="Times New Roman"/>
          <w:sz w:val="24"/>
          <w:szCs w:val="24"/>
        </w:rPr>
        <w:t>Hasil penelitian yang sudah di analisis menggunakan regresi data panel menunjukan bahwa variabel</w:t>
      </w:r>
      <w:r w:rsidR="006773D8">
        <w:rPr>
          <w:rFonts w:ascii="Times New Roman" w:hAnsi="Times New Roman" w:cs="Times New Roman"/>
          <w:sz w:val="24"/>
          <w:szCs w:val="24"/>
        </w:rPr>
        <w:t xml:space="preserve"> </w:t>
      </w:r>
      <w:r w:rsidR="006773D8">
        <w:rPr>
          <w:rFonts w:ascii="Times New Roman" w:hAnsi="Times New Roman" w:cs="Times New Roman"/>
          <w:i/>
          <w:sz w:val="24"/>
          <w:szCs w:val="24"/>
          <w:lang w:eastAsia="id-ID"/>
        </w:rPr>
        <w:t xml:space="preserve">Net Interest Margin </w:t>
      </w:r>
      <w:r w:rsidR="006773D8">
        <w:rPr>
          <w:rFonts w:ascii="Times New Roman" w:hAnsi="Times New Roman" w:cs="Times New Roman"/>
          <w:sz w:val="24"/>
          <w:szCs w:val="24"/>
          <w:lang w:eastAsia="id-ID"/>
        </w:rPr>
        <w:t>(NIM) (X2)</w:t>
      </w:r>
      <w:r w:rsidR="006773D8" w:rsidRPr="00B55BED">
        <w:rPr>
          <w:rFonts w:ascii="Times New Roman" w:hAnsi="Times New Roman" w:cs="Times New Roman"/>
          <w:sz w:val="24"/>
          <w:szCs w:val="24"/>
        </w:rPr>
        <w:t xml:space="preserve"> </w:t>
      </w:r>
      <w:r w:rsidR="006773D8">
        <w:rPr>
          <w:rFonts w:ascii="Times New Roman" w:hAnsi="Times New Roman" w:cs="Times New Roman"/>
          <w:sz w:val="24"/>
          <w:szCs w:val="24"/>
        </w:rPr>
        <w:t>berpengaruh positif</w:t>
      </w:r>
      <w:r w:rsidR="006773D8" w:rsidRPr="00B55BED">
        <w:rPr>
          <w:rFonts w:ascii="Times New Roman" w:hAnsi="Times New Roman" w:cs="Times New Roman"/>
          <w:sz w:val="24"/>
          <w:szCs w:val="24"/>
        </w:rPr>
        <w:t xml:space="preserve"> dan signifikan terhadap variabel </w:t>
      </w:r>
      <w:r w:rsidR="006773D8" w:rsidRPr="00B55BED">
        <w:rPr>
          <w:rFonts w:ascii="Times New Roman" w:hAnsi="Times New Roman" w:cs="Times New Roman"/>
          <w:i/>
          <w:sz w:val="24"/>
          <w:szCs w:val="24"/>
        </w:rPr>
        <w:t>Return on Asset</w:t>
      </w:r>
      <w:r w:rsidR="006773D8" w:rsidRPr="00B55BED">
        <w:rPr>
          <w:rFonts w:ascii="Times New Roman" w:hAnsi="Times New Roman" w:cs="Times New Roman"/>
          <w:sz w:val="24"/>
          <w:szCs w:val="24"/>
        </w:rPr>
        <w:t xml:space="preserve"> (ROA) (Y).</w:t>
      </w:r>
    </w:p>
    <w:p w:rsidR="0024642B" w:rsidRPr="0024642B" w:rsidRDefault="001A06A9" w:rsidP="0024642B">
      <w:pPr>
        <w:pStyle w:val="ListParagraph"/>
        <w:numPr>
          <w:ilvl w:val="0"/>
          <w:numId w:val="17"/>
        </w:numPr>
        <w:spacing w:line="480" w:lineRule="auto"/>
        <w:rPr>
          <w:rFonts w:ascii="Times New Roman" w:hAnsi="Times New Roman" w:cs="Times New Roman"/>
          <w:sz w:val="24"/>
          <w:szCs w:val="24"/>
          <w:lang w:eastAsia="id-ID"/>
        </w:rPr>
      </w:pPr>
      <w:r>
        <w:rPr>
          <w:rFonts w:ascii="Times New Roman" w:hAnsi="Times New Roman" w:cs="Times New Roman"/>
          <w:sz w:val="24"/>
          <w:szCs w:val="24"/>
          <w:lang w:eastAsia="id-ID"/>
        </w:rPr>
        <w:t xml:space="preserve">Data </w:t>
      </w:r>
      <w:r>
        <w:rPr>
          <w:rFonts w:ascii="Times New Roman" w:hAnsi="Times New Roman" w:cs="Times New Roman"/>
          <w:i/>
          <w:sz w:val="24"/>
          <w:szCs w:val="24"/>
          <w:lang w:eastAsia="id-ID"/>
        </w:rPr>
        <w:t xml:space="preserve">Return on Asset </w:t>
      </w:r>
      <w:r>
        <w:rPr>
          <w:rFonts w:ascii="Times New Roman" w:hAnsi="Times New Roman" w:cs="Times New Roman"/>
          <w:sz w:val="24"/>
          <w:szCs w:val="24"/>
          <w:lang w:eastAsia="id-ID"/>
        </w:rPr>
        <w:t xml:space="preserve">(ROA) </w:t>
      </w:r>
      <w:r>
        <w:rPr>
          <w:rFonts w:ascii="Times New Roman" w:hAnsi="Times New Roman" w:cs="Times New Roman"/>
          <w:sz w:val="24"/>
          <w:szCs w:val="24"/>
          <w:lang w:eastAsia="id-ID"/>
        </w:rPr>
        <w:t xml:space="preserve"> pada perusahaan perbankan yang terdaftar di Bursa Efek Indonesia periode 2018 – 2022 dari tahun ke tahun mengalami kenaikan dan penurunan. Kenaikan tertinggi dimiliki oleh perusahaan perban</w:t>
      </w:r>
      <w:r w:rsidR="009870AE">
        <w:rPr>
          <w:rFonts w:ascii="Times New Roman" w:hAnsi="Times New Roman" w:cs="Times New Roman"/>
          <w:sz w:val="24"/>
          <w:szCs w:val="24"/>
          <w:lang w:eastAsia="id-ID"/>
        </w:rPr>
        <w:t>kan dengan kode perusahaan MEGA</w:t>
      </w:r>
      <w:r>
        <w:rPr>
          <w:rFonts w:ascii="Times New Roman" w:hAnsi="Times New Roman" w:cs="Times New Roman"/>
          <w:sz w:val="24"/>
          <w:szCs w:val="24"/>
          <w:lang w:eastAsia="id-ID"/>
        </w:rPr>
        <w:t xml:space="preserve">, dengan hasil presentase sebesar </w:t>
      </w:r>
      <w:r w:rsidR="009870AE">
        <w:rPr>
          <w:rFonts w:ascii="Times New Roman" w:hAnsi="Times New Roman" w:cs="Times New Roman"/>
          <w:sz w:val="24"/>
          <w:szCs w:val="24"/>
          <w:lang w:eastAsia="id-ID"/>
        </w:rPr>
        <w:t>4,22</w:t>
      </w:r>
      <w:r w:rsidRPr="003F2E69">
        <w:rPr>
          <w:rFonts w:ascii="Times New Roman" w:hAnsi="Times New Roman" w:cs="Times New Roman"/>
          <w:sz w:val="24"/>
          <w:szCs w:val="24"/>
          <w:lang w:eastAsia="id-ID"/>
        </w:rPr>
        <w:t>%</w:t>
      </w:r>
      <w:r>
        <w:rPr>
          <w:rFonts w:ascii="Times New Roman" w:hAnsi="Times New Roman" w:cs="Times New Roman"/>
          <w:sz w:val="24"/>
          <w:szCs w:val="24"/>
          <w:lang w:eastAsia="id-ID"/>
        </w:rPr>
        <w:t xml:space="preserve"> </w:t>
      </w:r>
      <w:r w:rsidRPr="003F2E69">
        <w:rPr>
          <w:rFonts w:ascii="Times New Roman" w:hAnsi="Times New Roman" w:cs="Times New Roman"/>
          <w:sz w:val="24"/>
          <w:szCs w:val="24"/>
          <w:lang w:eastAsia="id-ID"/>
        </w:rPr>
        <w:t>tercatat pada tahun 202</w:t>
      </w:r>
      <w:r w:rsidR="008765D8">
        <w:rPr>
          <w:rFonts w:ascii="Times New Roman" w:hAnsi="Times New Roman" w:cs="Times New Roman"/>
          <w:sz w:val="24"/>
          <w:szCs w:val="24"/>
          <w:lang w:eastAsia="id-ID"/>
        </w:rPr>
        <w:t>1</w:t>
      </w:r>
      <w:r w:rsidRPr="003F2E69">
        <w:rPr>
          <w:rFonts w:ascii="Times New Roman" w:hAnsi="Times New Roman" w:cs="Times New Roman"/>
          <w:sz w:val="24"/>
          <w:szCs w:val="24"/>
          <w:lang w:eastAsia="id-ID"/>
        </w:rPr>
        <w:t xml:space="preserve">. Kemudian untuk penurunan terendah dimiliki oleh perusahaan perbankan dengan kode perusahaan </w:t>
      </w:r>
      <w:r w:rsidR="008765D8">
        <w:rPr>
          <w:rFonts w:ascii="Times New Roman" w:hAnsi="Times New Roman" w:cs="Times New Roman"/>
          <w:sz w:val="24"/>
          <w:szCs w:val="24"/>
          <w:lang w:eastAsia="id-ID"/>
        </w:rPr>
        <w:t>AGRO</w:t>
      </w:r>
      <w:r w:rsidRPr="003F2E69">
        <w:rPr>
          <w:rFonts w:ascii="Times New Roman" w:hAnsi="Times New Roman" w:cs="Times New Roman"/>
          <w:sz w:val="24"/>
          <w:szCs w:val="24"/>
          <w:lang w:eastAsia="id-ID"/>
        </w:rPr>
        <w:t xml:space="preserve">, dengan hasil presentase sebesar </w:t>
      </w:r>
      <w:r w:rsidR="008765D8">
        <w:rPr>
          <w:rFonts w:ascii="Times New Roman" w:hAnsi="Times New Roman" w:cs="Times New Roman"/>
          <w:sz w:val="24"/>
          <w:szCs w:val="24"/>
          <w:lang w:eastAsia="id-ID"/>
        </w:rPr>
        <w:t>-14,75</w:t>
      </w:r>
      <w:r w:rsidRPr="001A06A9">
        <w:rPr>
          <w:rFonts w:ascii="Times New Roman" w:hAnsi="Times New Roman" w:cs="Times New Roman"/>
          <w:sz w:val="24"/>
          <w:szCs w:val="24"/>
          <w:lang w:eastAsia="id-ID"/>
        </w:rPr>
        <w:t>%</w:t>
      </w:r>
      <w:r>
        <w:rPr>
          <w:rFonts w:ascii="Times New Roman" w:hAnsi="Times New Roman" w:cs="Times New Roman"/>
          <w:sz w:val="24"/>
          <w:szCs w:val="24"/>
          <w:lang w:eastAsia="id-ID"/>
        </w:rPr>
        <w:t xml:space="preserve"> </w:t>
      </w:r>
      <w:r w:rsidRPr="001A06A9">
        <w:rPr>
          <w:rFonts w:ascii="Times New Roman" w:hAnsi="Times New Roman" w:cs="Times New Roman"/>
          <w:sz w:val="24"/>
          <w:szCs w:val="24"/>
          <w:lang w:eastAsia="id-ID"/>
        </w:rPr>
        <w:t>yang tercatat pada tahun 2021</w:t>
      </w:r>
      <w:r w:rsidR="008765D8">
        <w:rPr>
          <w:rFonts w:ascii="Times New Roman" w:hAnsi="Times New Roman" w:cs="Times New Roman"/>
          <w:sz w:val="24"/>
          <w:szCs w:val="24"/>
          <w:lang w:eastAsia="id-ID"/>
        </w:rPr>
        <w:t>.</w:t>
      </w:r>
    </w:p>
    <w:p w:rsidR="00E4547B" w:rsidRPr="006842EA" w:rsidRDefault="00E4547B" w:rsidP="004632E5">
      <w:pPr>
        <w:pStyle w:val="ListParagraph"/>
        <w:spacing w:line="480" w:lineRule="auto"/>
        <w:rPr>
          <w:rFonts w:ascii="Times New Roman" w:hAnsi="Times New Roman" w:cs="Times New Roman"/>
          <w:sz w:val="24"/>
          <w:szCs w:val="24"/>
          <w:lang w:eastAsia="id-ID"/>
        </w:rPr>
      </w:pPr>
    </w:p>
    <w:sectPr w:rsidR="00E4547B" w:rsidRPr="006842EA" w:rsidSect="00193781">
      <w:pgSz w:w="11906" w:h="16838" w:code="9"/>
      <w:pgMar w:top="2268" w:right="1701" w:bottom="1701" w:left="2268" w:header="851" w:footer="992"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E51B2"/>
    <w:multiLevelType w:val="hybridMultilevel"/>
    <w:tmpl w:val="20D4E0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EA0828"/>
    <w:multiLevelType w:val="multilevel"/>
    <w:tmpl w:val="29725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7436E9"/>
    <w:multiLevelType w:val="hybridMultilevel"/>
    <w:tmpl w:val="7D3CFEB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1B746F6E"/>
    <w:multiLevelType w:val="multilevel"/>
    <w:tmpl w:val="127A49B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3"/>
      <w:numFmt w:val="decimal"/>
      <w:isLgl/>
      <w:lvlText w:val="%1.%2.%3.%4"/>
      <w:lvlJc w:val="left"/>
      <w:pPr>
        <w:ind w:left="1080" w:hanging="720"/>
      </w:pPr>
      <w:rPr>
        <w:rFonts w:ascii="Times New Roman" w:hAnsi="Times New Roman" w:cs="Times New Roman" w:hint="default"/>
        <w:sz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7E70B4C"/>
    <w:multiLevelType w:val="hybridMultilevel"/>
    <w:tmpl w:val="4A08A2F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2DE67E83"/>
    <w:multiLevelType w:val="hybridMultilevel"/>
    <w:tmpl w:val="ED5C5F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5EE1F3D"/>
    <w:multiLevelType w:val="multilevel"/>
    <w:tmpl w:val="410A7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5107F8"/>
    <w:multiLevelType w:val="hybridMultilevel"/>
    <w:tmpl w:val="B9D82DC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367F5F5D"/>
    <w:multiLevelType w:val="multilevel"/>
    <w:tmpl w:val="672A3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6D6BCE"/>
    <w:multiLevelType w:val="hybridMultilevel"/>
    <w:tmpl w:val="11566D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B4D301F"/>
    <w:multiLevelType w:val="multilevel"/>
    <w:tmpl w:val="A5923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2448C3"/>
    <w:multiLevelType w:val="hybridMultilevel"/>
    <w:tmpl w:val="5B9E0F3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4ADD4181"/>
    <w:multiLevelType w:val="multilevel"/>
    <w:tmpl w:val="5AF03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3759E2"/>
    <w:multiLevelType w:val="hybridMultilevel"/>
    <w:tmpl w:val="F6E076C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639C2455"/>
    <w:multiLevelType w:val="hybridMultilevel"/>
    <w:tmpl w:val="FA202FE6"/>
    <w:lvl w:ilvl="0" w:tplc="8064E1C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2185768"/>
    <w:multiLevelType w:val="hybridMultilevel"/>
    <w:tmpl w:val="F10CDF5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7448392D"/>
    <w:multiLevelType w:val="multilevel"/>
    <w:tmpl w:val="6D829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num>
  <w:num w:numId="3">
    <w:abstractNumId w:val="6"/>
  </w:num>
  <w:num w:numId="4">
    <w:abstractNumId w:val="16"/>
  </w:num>
  <w:num w:numId="5">
    <w:abstractNumId w:val="12"/>
  </w:num>
  <w:num w:numId="6">
    <w:abstractNumId w:val="8"/>
  </w:num>
  <w:num w:numId="7">
    <w:abstractNumId w:val="0"/>
  </w:num>
  <w:num w:numId="8">
    <w:abstractNumId w:val="7"/>
  </w:num>
  <w:num w:numId="9">
    <w:abstractNumId w:val="15"/>
  </w:num>
  <w:num w:numId="10">
    <w:abstractNumId w:val="4"/>
  </w:num>
  <w:num w:numId="11">
    <w:abstractNumId w:val="13"/>
  </w:num>
  <w:num w:numId="12">
    <w:abstractNumId w:val="11"/>
  </w:num>
  <w:num w:numId="13">
    <w:abstractNumId w:val="2"/>
  </w:num>
  <w:num w:numId="14">
    <w:abstractNumId w:val="9"/>
  </w:num>
  <w:num w:numId="15">
    <w:abstractNumId w:val="5"/>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77B"/>
    <w:rsid w:val="000172BC"/>
    <w:rsid w:val="00034E27"/>
    <w:rsid w:val="0005467B"/>
    <w:rsid w:val="00072264"/>
    <w:rsid w:val="00077E34"/>
    <w:rsid w:val="000A2E25"/>
    <w:rsid w:val="000C1C15"/>
    <w:rsid w:val="00127B17"/>
    <w:rsid w:val="001373DB"/>
    <w:rsid w:val="00141F80"/>
    <w:rsid w:val="00173A58"/>
    <w:rsid w:val="00181463"/>
    <w:rsid w:val="001843EC"/>
    <w:rsid w:val="00193781"/>
    <w:rsid w:val="0019660E"/>
    <w:rsid w:val="001A06A9"/>
    <w:rsid w:val="00210D15"/>
    <w:rsid w:val="002248D8"/>
    <w:rsid w:val="00234A05"/>
    <w:rsid w:val="0024642B"/>
    <w:rsid w:val="00250200"/>
    <w:rsid w:val="00252AB8"/>
    <w:rsid w:val="0026095E"/>
    <w:rsid w:val="002724AB"/>
    <w:rsid w:val="0028548A"/>
    <w:rsid w:val="002970DE"/>
    <w:rsid w:val="002A6056"/>
    <w:rsid w:val="002A6342"/>
    <w:rsid w:val="002D19F2"/>
    <w:rsid w:val="002F0A2D"/>
    <w:rsid w:val="003028E1"/>
    <w:rsid w:val="003052D6"/>
    <w:rsid w:val="00326862"/>
    <w:rsid w:val="003523C6"/>
    <w:rsid w:val="00354E2A"/>
    <w:rsid w:val="00367343"/>
    <w:rsid w:val="00372F2B"/>
    <w:rsid w:val="003933BA"/>
    <w:rsid w:val="003A24BB"/>
    <w:rsid w:val="003A2C2B"/>
    <w:rsid w:val="003A7D4A"/>
    <w:rsid w:val="003C1D63"/>
    <w:rsid w:val="003C4166"/>
    <w:rsid w:val="003C7374"/>
    <w:rsid w:val="003C7516"/>
    <w:rsid w:val="003F2E69"/>
    <w:rsid w:val="00422FDF"/>
    <w:rsid w:val="004346A2"/>
    <w:rsid w:val="004632E5"/>
    <w:rsid w:val="0046521A"/>
    <w:rsid w:val="00465EAA"/>
    <w:rsid w:val="0047084F"/>
    <w:rsid w:val="00472920"/>
    <w:rsid w:val="00496DF5"/>
    <w:rsid w:val="004B35F0"/>
    <w:rsid w:val="004B442E"/>
    <w:rsid w:val="004C4682"/>
    <w:rsid w:val="004D71AF"/>
    <w:rsid w:val="004E2481"/>
    <w:rsid w:val="004E48A8"/>
    <w:rsid w:val="004E7C1F"/>
    <w:rsid w:val="004F1BED"/>
    <w:rsid w:val="00500F4F"/>
    <w:rsid w:val="005047A2"/>
    <w:rsid w:val="00521086"/>
    <w:rsid w:val="00551AC2"/>
    <w:rsid w:val="0055739D"/>
    <w:rsid w:val="005818C0"/>
    <w:rsid w:val="00594EDF"/>
    <w:rsid w:val="005A3A47"/>
    <w:rsid w:val="005A4980"/>
    <w:rsid w:val="005D2800"/>
    <w:rsid w:val="005E04AC"/>
    <w:rsid w:val="005E04B6"/>
    <w:rsid w:val="005E5A87"/>
    <w:rsid w:val="005F4DED"/>
    <w:rsid w:val="00615981"/>
    <w:rsid w:val="006221A3"/>
    <w:rsid w:val="00633A68"/>
    <w:rsid w:val="00645B11"/>
    <w:rsid w:val="00654E08"/>
    <w:rsid w:val="00654ED1"/>
    <w:rsid w:val="006741C0"/>
    <w:rsid w:val="006773D8"/>
    <w:rsid w:val="00683AE3"/>
    <w:rsid w:val="006842EA"/>
    <w:rsid w:val="0069004A"/>
    <w:rsid w:val="006C7910"/>
    <w:rsid w:val="006C7D3E"/>
    <w:rsid w:val="006E52C9"/>
    <w:rsid w:val="006F4D9B"/>
    <w:rsid w:val="00701850"/>
    <w:rsid w:val="00725038"/>
    <w:rsid w:val="00735274"/>
    <w:rsid w:val="00756605"/>
    <w:rsid w:val="007706A3"/>
    <w:rsid w:val="007A4991"/>
    <w:rsid w:val="007A7C7B"/>
    <w:rsid w:val="007D0114"/>
    <w:rsid w:val="007D1F09"/>
    <w:rsid w:val="007D7A7D"/>
    <w:rsid w:val="00802849"/>
    <w:rsid w:val="0080362C"/>
    <w:rsid w:val="00817D72"/>
    <w:rsid w:val="00831DD1"/>
    <w:rsid w:val="008337E2"/>
    <w:rsid w:val="00844E27"/>
    <w:rsid w:val="008521D0"/>
    <w:rsid w:val="00853EC9"/>
    <w:rsid w:val="008765D8"/>
    <w:rsid w:val="008B20D7"/>
    <w:rsid w:val="008B26F4"/>
    <w:rsid w:val="008E19E4"/>
    <w:rsid w:val="008E1B7D"/>
    <w:rsid w:val="008E51A9"/>
    <w:rsid w:val="008F5DD5"/>
    <w:rsid w:val="0090224B"/>
    <w:rsid w:val="009037E2"/>
    <w:rsid w:val="0092470C"/>
    <w:rsid w:val="00951498"/>
    <w:rsid w:val="009601B3"/>
    <w:rsid w:val="0096042A"/>
    <w:rsid w:val="009870AE"/>
    <w:rsid w:val="009A3D2B"/>
    <w:rsid w:val="009B1B37"/>
    <w:rsid w:val="009D44B4"/>
    <w:rsid w:val="009D4EC2"/>
    <w:rsid w:val="009F5199"/>
    <w:rsid w:val="00A00C8A"/>
    <w:rsid w:val="00A11EF4"/>
    <w:rsid w:val="00A12C92"/>
    <w:rsid w:val="00A15AAA"/>
    <w:rsid w:val="00A15BB9"/>
    <w:rsid w:val="00A1711E"/>
    <w:rsid w:val="00A236CA"/>
    <w:rsid w:val="00A366B9"/>
    <w:rsid w:val="00A649B1"/>
    <w:rsid w:val="00A66A6C"/>
    <w:rsid w:val="00A82D68"/>
    <w:rsid w:val="00A83CE7"/>
    <w:rsid w:val="00A863A6"/>
    <w:rsid w:val="00AA7DEC"/>
    <w:rsid w:val="00AB00E6"/>
    <w:rsid w:val="00AD39BA"/>
    <w:rsid w:val="00AD4599"/>
    <w:rsid w:val="00AD7AE8"/>
    <w:rsid w:val="00AF35C3"/>
    <w:rsid w:val="00B20300"/>
    <w:rsid w:val="00B311EC"/>
    <w:rsid w:val="00B33CBC"/>
    <w:rsid w:val="00B40E6C"/>
    <w:rsid w:val="00B43B50"/>
    <w:rsid w:val="00B55BED"/>
    <w:rsid w:val="00B61745"/>
    <w:rsid w:val="00B64D56"/>
    <w:rsid w:val="00B8124D"/>
    <w:rsid w:val="00B822B9"/>
    <w:rsid w:val="00B90CC1"/>
    <w:rsid w:val="00BB47EC"/>
    <w:rsid w:val="00C05C1D"/>
    <w:rsid w:val="00C1017D"/>
    <w:rsid w:val="00C224B1"/>
    <w:rsid w:val="00C33872"/>
    <w:rsid w:val="00C36230"/>
    <w:rsid w:val="00C459BF"/>
    <w:rsid w:val="00C6022A"/>
    <w:rsid w:val="00C62B5D"/>
    <w:rsid w:val="00CA2499"/>
    <w:rsid w:val="00CE3AB2"/>
    <w:rsid w:val="00CF7FB0"/>
    <w:rsid w:val="00D01FEB"/>
    <w:rsid w:val="00D105E6"/>
    <w:rsid w:val="00D12EAA"/>
    <w:rsid w:val="00D149F0"/>
    <w:rsid w:val="00D324E3"/>
    <w:rsid w:val="00D507E5"/>
    <w:rsid w:val="00D523DE"/>
    <w:rsid w:val="00D6135D"/>
    <w:rsid w:val="00D66AE8"/>
    <w:rsid w:val="00D67B91"/>
    <w:rsid w:val="00D76CD4"/>
    <w:rsid w:val="00DA75BA"/>
    <w:rsid w:val="00DB0315"/>
    <w:rsid w:val="00DB0A9C"/>
    <w:rsid w:val="00DC07D2"/>
    <w:rsid w:val="00DC08FE"/>
    <w:rsid w:val="00DC6030"/>
    <w:rsid w:val="00DD26BE"/>
    <w:rsid w:val="00DD7C8C"/>
    <w:rsid w:val="00DE196D"/>
    <w:rsid w:val="00DE3761"/>
    <w:rsid w:val="00DE692E"/>
    <w:rsid w:val="00DF5980"/>
    <w:rsid w:val="00E17176"/>
    <w:rsid w:val="00E216B3"/>
    <w:rsid w:val="00E24678"/>
    <w:rsid w:val="00E32040"/>
    <w:rsid w:val="00E4547B"/>
    <w:rsid w:val="00E45ABD"/>
    <w:rsid w:val="00E66C4F"/>
    <w:rsid w:val="00E80DFA"/>
    <w:rsid w:val="00E83171"/>
    <w:rsid w:val="00EA066D"/>
    <w:rsid w:val="00EA4380"/>
    <w:rsid w:val="00EA6571"/>
    <w:rsid w:val="00EB7902"/>
    <w:rsid w:val="00EC3B7F"/>
    <w:rsid w:val="00EC6655"/>
    <w:rsid w:val="00ED1C0F"/>
    <w:rsid w:val="00ED2877"/>
    <w:rsid w:val="00EE1D07"/>
    <w:rsid w:val="00EE4D70"/>
    <w:rsid w:val="00F01DA5"/>
    <w:rsid w:val="00F120D2"/>
    <w:rsid w:val="00F16656"/>
    <w:rsid w:val="00F20B2E"/>
    <w:rsid w:val="00F51EFB"/>
    <w:rsid w:val="00F5677B"/>
    <w:rsid w:val="00F56AA0"/>
    <w:rsid w:val="00F775C8"/>
    <w:rsid w:val="00F82F62"/>
    <w:rsid w:val="00F93DE9"/>
    <w:rsid w:val="00FA7266"/>
    <w:rsid w:val="00FB09CE"/>
    <w:rsid w:val="00FE13C4"/>
    <w:rsid w:val="00FF3A7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4B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5A3A47"/>
    <w:rPr>
      <w:color w:val="0000FF"/>
      <w:u w:val="single"/>
    </w:rPr>
  </w:style>
  <w:style w:type="paragraph" w:styleId="ListParagraph">
    <w:name w:val="List Paragraph"/>
    <w:basedOn w:val="Normal"/>
    <w:uiPriority w:val="34"/>
    <w:qFormat/>
    <w:rsid w:val="005A3A47"/>
    <w:pPr>
      <w:ind w:left="720"/>
      <w:contextualSpacing/>
    </w:pPr>
  </w:style>
  <w:style w:type="paragraph" w:styleId="Caption">
    <w:name w:val="caption"/>
    <w:basedOn w:val="Normal"/>
    <w:next w:val="Normal"/>
    <w:uiPriority w:val="35"/>
    <w:unhideWhenUsed/>
    <w:qFormat/>
    <w:rsid w:val="00C459B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D3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9BA"/>
    <w:rPr>
      <w:rFonts w:ascii="Tahoma" w:hAnsi="Tahoma" w:cs="Tahoma"/>
      <w:sz w:val="16"/>
      <w:szCs w:val="16"/>
    </w:rPr>
  </w:style>
  <w:style w:type="character" w:customStyle="1" w:styleId="selectable-text">
    <w:name w:val="selectable-text"/>
    <w:basedOn w:val="DefaultParagraphFont"/>
    <w:rsid w:val="000C1C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4B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5A3A47"/>
    <w:rPr>
      <w:color w:val="0000FF"/>
      <w:u w:val="single"/>
    </w:rPr>
  </w:style>
  <w:style w:type="paragraph" w:styleId="ListParagraph">
    <w:name w:val="List Paragraph"/>
    <w:basedOn w:val="Normal"/>
    <w:uiPriority w:val="34"/>
    <w:qFormat/>
    <w:rsid w:val="005A3A47"/>
    <w:pPr>
      <w:ind w:left="720"/>
      <w:contextualSpacing/>
    </w:pPr>
  </w:style>
  <w:style w:type="paragraph" w:styleId="Caption">
    <w:name w:val="caption"/>
    <w:basedOn w:val="Normal"/>
    <w:next w:val="Normal"/>
    <w:uiPriority w:val="35"/>
    <w:unhideWhenUsed/>
    <w:qFormat/>
    <w:rsid w:val="00C459B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D3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9BA"/>
    <w:rPr>
      <w:rFonts w:ascii="Tahoma" w:hAnsi="Tahoma" w:cs="Tahoma"/>
      <w:sz w:val="16"/>
      <w:szCs w:val="16"/>
    </w:rPr>
  </w:style>
  <w:style w:type="character" w:customStyle="1" w:styleId="selectable-text">
    <w:name w:val="selectable-text"/>
    <w:basedOn w:val="DefaultParagraphFont"/>
    <w:rsid w:val="000C1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6653">
      <w:bodyDiv w:val="1"/>
      <w:marLeft w:val="0"/>
      <w:marRight w:val="0"/>
      <w:marTop w:val="0"/>
      <w:marBottom w:val="0"/>
      <w:divBdr>
        <w:top w:val="none" w:sz="0" w:space="0" w:color="auto"/>
        <w:left w:val="none" w:sz="0" w:space="0" w:color="auto"/>
        <w:bottom w:val="none" w:sz="0" w:space="0" w:color="auto"/>
        <w:right w:val="none" w:sz="0" w:space="0" w:color="auto"/>
      </w:divBdr>
    </w:div>
    <w:div w:id="151871927">
      <w:bodyDiv w:val="1"/>
      <w:marLeft w:val="0"/>
      <w:marRight w:val="0"/>
      <w:marTop w:val="0"/>
      <w:marBottom w:val="0"/>
      <w:divBdr>
        <w:top w:val="none" w:sz="0" w:space="0" w:color="auto"/>
        <w:left w:val="none" w:sz="0" w:space="0" w:color="auto"/>
        <w:bottom w:val="none" w:sz="0" w:space="0" w:color="auto"/>
        <w:right w:val="none" w:sz="0" w:space="0" w:color="auto"/>
      </w:divBdr>
    </w:div>
    <w:div w:id="157888765">
      <w:bodyDiv w:val="1"/>
      <w:marLeft w:val="0"/>
      <w:marRight w:val="0"/>
      <w:marTop w:val="0"/>
      <w:marBottom w:val="0"/>
      <w:divBdr>
        <w:top w:val="none" w:sz="0" w:space="0" w:color="auto"/>
        <w:left w:val="none" w:sz="0" w:space="0" w:color="auto"/>
        <w:bottom w:val="none" w:sz="0" w:space="0" w:color="auto"/>
        <w:right w:val="none" w:sz="0" w:space="0" w:color="auto"/>
      </w:divBdr>
    </w:div>
    <w:div w:id="213005198">
      <w:bodyDiv w:val="1"/>
      <w:marLeft w:val="0"/>
      <w:marRight w:val="0"/>
      <w:marTop w:val="0"/>
      <w:marBottom w:val="0"/>
      <w:divBdr>
        <w:top w:val="none" w:sz="0" w:space="0" w:color="auto"/>
        <w:left w:val="none" w:sz="0" w:space="0" w:color="auto"/>
        <w:bottom w:val="none" w:sz="0" w:space="0" w:color="auto"/>
        <w:right w:val="none" w:sz="0" w:space="0" w:color="auto"/>
      </w:divBdr>
    </w:div>
    <w:div w:id="218398224">
      <w:bodyDiv w:val="1"/>
      <w:marLeft w:val="0"/>
      <w:marRight w:val="0"/>
      <w:marTop w:val="0"/>
      <w:marBottom w:val="0"/>
      <w:divBdr>
        <w:top w:val="none" w:sz="0" w:space="0" w:color="auto"/>
        <w:left w:val="none" w:sz="0" w:space="0" w:color="auto"/>
        <w:bottom w:val="none" w:sz="0" w:space="0" w:color="auto"/>
        <w:right w:val="none" w:sz="0" w:space="0" w:color="auto"/>
      </w:divBdr>
    </w:div>
    <w:div w:id="235943181">
      <w:bodyDiv w:val="1"/>
      <w:marLeft w:val="0"/>
      <w:marRight w:val="0"/>
      <w:marTop w:val="0"/>
      <w:marBottom w:val="0"/>
      <w:divBdr>
        <w:top w:val="none" w:sz="0" w:space="0" w:color="auto"/>
        <w:left w:val="none" w:sz="0" w:space="0" w:color="auto"/>
        <w:bottom w:val="none" w:sz="0" w:space="0" w:color="auto"/>
        <w:right w:val="none" w:sz="0" w:space="0" w:color="auto"/>
      </w:divBdr>
    </w:div>
    <w:div w:id="312300440">
      <w:bodyDiv w:val="1"/>
      <w:marLeft w:val="0"/>
      <w:marRight w:val="0"/>
      <w:marTop w:val="0"/>
      <w:marBottom w:val="0"/>
      <w:divBdr>
        <w:top w:val="none" w:sz="0" w:space="0" w:color="auto"/>
        <w:left w:val="none" w:sz="0" w:space="0" w:color="auto"/>
        <w:bottom w:val="none" w:sz="0" w:space="0" w:color="auto"/>
        <w:right w:val="none" w:sz="0" w:space="0" w:color="auto"/>
      </w:divBdr>
    </w:div>
    <w:div w:id="322244257">
      <w:bodyDiv w:val="1"/>
      <w:marLeft w:val="0"/>
      <w:marRight w:val="0"/>
      <w:marTop w:val="0"/>
      <w:marBottom w:val="0"/>
      <w:divBdr>
        <w:top w:val="none" w:sz="0" w:space="0" w:color="auto"/>
        <w:left w:val="none" w:sz="0" w:space="0" w:color="auto"/>
        <w:bottom w:val="none" w:sz="0" w:space="0" w:color="auto"/>
        <w:right w:val="none" w:sz="0" w:space="0" w:color="auto"/>
      </w:divBdr>
    </w:div>
    <w:div w:id="347948722">
      <w:bodyDiv w:val="1"/>
      <w:marLeft w:val="0"/>
      <w:marRight w:val="0"/>
      <w:marTop w:val="0"/>
      <w:marBottom w:val="0"/>
      <w:divBdr>
        <w:top w:val="none" w:sz="0" w:space="0" w:color="auto"/>
        <w:left w:val="none" w:sz="0" w:space="0" w:color="auto"/>
        <w:bottom w:val="none" w:sz="0" w:space="0" w:color="auto"/>
        <w:right w:val="none" w:sz="0" w:space="0" w:color="auto"/>
      </w:divBdr>
    </w:div>
    <w:div w:id="359166270">
      <w:bodyDiv w:val="1"/>
      <w:marLeft w:val="0"/>
      <w:marRight w:val="0"/>
      <w:marTop w:val="0"/>
      <w:marBottom w:val="0"/>
      <w:divBdr>
        <w:top w:val="none" w:sz="0" w:space="0" w:color="auto"/>
        <w:left w:val="none" w:sz="0" w:space="0" w:color="auto"/>
        <w:bottom w:val="none" w:sz="0" w:space="0" w:color="auto"/>
        <w:right w:val="none" w:sz="0" w:space="0" w:color="auto"/>
      </w:divBdr>
    </w:div>
    <w:div w:id="394358453">
      <w:bodyDiv w:val="1"/>
      <w:marLeft w:val="0"/>
      <w:marRight w:val="0"/>
      <w:marTop w:val="0"/>
      <w:marBottom w:val="0"/>
      <w:divBdr>
        <w:top w:val="none" w:sz="0" w:space="0" w:color="auto"/>
        <w:left w:val="none" w:sz="0" w:space="0" w:color="auto"/>
        <w:bottom w:val="none" w:sz="0" w:space="0" w:color="auto"/>
        <w:right w:val="none" w:sz="0" w:space="0" w:color="auto"/>
      </w:divBdr>
    </w:div>
    <w:div w:id="429277592">
      <w:bodyDiv w:val="1"/>
      <w:marLeft w:val="0"/>
      <w:marRight w:val="0"/>
      <w:marTop w:val="0"/>
      <w:marBottom w:val="0"/>
      <w:divBdr>
        <w:top w:val="none" w:sz="0" w:space="0" w:color="auto"/>
        <w:left w:val="none" w:sz="0" w:space="0" w:color="auto"/>
        <w:bottom w:val="none" w:sz="0" w:space="0" w:color="auto"/>
        <w:right w:val="none" w:sz="0" w:space="0" w:color="auto"/>
      </w:divBdr>
    </w:div>
    <w:div w:id="495341591">
      <w:bodyDiv w:val="1"/>
      <w:marLeft w:val="0"/>
      <w:marRight w:val="0"/>
      <w:marTop w:val="0"/>
      <w:marBottom w:val="0"/>
      <w:divBdr>
        <w:top w:val="none" w:sz="0" w:space="0" w:color="auto"/>
        <w:left w:val="none" w:sz="0" w:space="0" w:color="auto"/>
        <w:bottom w:val="none" w:sz="0" w:space="0" w:color="auto"/>
        <w:right w:val="none" w:sz="0" w:space="0" w:color="auto"/>
      </w:divBdr>
    </w:div>
    <w:div w:id="501775302">
      <w:bodyDiv w:val="1"/>
      <w:marLeft w:val="0"/>
      <w:marRight w:val="0"/>
      <w:marTop w:val="0"/>
      <w:marBottom w:val="0"/>
      <w:divBdr>
        <w:top w:val="none" w:sz="0" w:space="0" w:color="auto"/>
        <w:left w:val="none" w:sz="0" w:space="0" w:color="auto"/>
        <w:bottom w:val="none" w:sz="0" w:space="0" w:color="auto"/>
        <w:right w:val="none" w:sz="0" w:space="0" w:color="auto"/>
      </w:divBdr>
    </w:div>
    <w:div w:id="524372166">
      <w:bodyDiv w:val="1"/>
      <w:marLeft w:val="0"/>
      <w:marRight w:val="0"/>
      <w:marTop w:val="0"/>
      <w:marBottom w:val="0"/>
      <w:divBdr>
        <w:top w:val="none" w:sz="0" w:space="0" w:color="auto"/>
        <w:left w:val="none" w:sz="0" w:space="0" w:color="auto"/>
        <w:bottom w:val="none" w:sz="0" w:space="0" w:color="auto"/>
        <w:right w:val="none" w:sz="0" w:space="0" w:color="auto"/>
      </w:divBdr>
    </w:div>
    <w:div w:id="538784209">
      <w:bodyDiv w:val="1"/>
      <w:marLeft w:val="0"/>
      <w:marRight w:val="0"/>
      <w:marTop w:val="0"/>
      <w:marBottom w:val="0"/>
      <w:divBdr>
        <w:top w:val="none" w:sz="0" w:space="0" w:color="auto"/>
        <w:left w:val="none" w:sz="0" w:space="0" w:color="auto"/>
        <w:bottom w:val="none" w:sz="0" w:space="0" w:color="auto"/>
        <w:right w:val="none" w:sz="0" w:space="0" w:color="auto"/>
      </w:divBdr>
    </w:div>
    <w:div w:id="566962603">
      <w:bodyDiv w:val="1"/>
      <w:marLeft w:val="0"/>
      <w:marRight w:val="0"/>
      <w:marTop w:val="0"/>
      <w:marBottom w:val="0"/>
      <w:divBdr>
        <w:top w:val="none" w:sz="0" w:space="0" w:color="auto"/>
        <w:left w:val="none" w:sz="0" w:space="0" w:color="auto"/>
        <w:bottom w:val="none" w:sz="0" w:space="0" w:color="auto"/>
        <w:right w:val="none" w:sz="0" w:space="0" w:color="auto"/>
      </w:divBdr>
    </w:div>
    <w:div w:id="600454285">
      <w:bodyDiv w:val="1"/>
      <w:marLeft w:val="0"/>
      <w:marRight w:val="0"/>
      <w:marTop w:val="0"/>
      <w:marBottom w:val="0"/>
      <w:divBdr>
        <w:top w:val="none" w:sz="0" w:space="0" w:color="auto"/>
        <w:left w:val="none" w:sz="0" w:space="0" w:color="auto"/>
        <w:bottom w:val="none" w:sz="0" w:space="0" w:color="auto"/>
        <w:right w:val="none" w:sz="0" w:space="0" w:color="auto"/>
      </w:divBdr>
    </w:div>
    <w:div w:id="696856579">
      <w:bodyDiv w:val="1"/>
      <w:marLeft w:val="0"/>
      <w:marRight w:val="0"/>
      <w:marTop w:val="0"/>
      <w:marBottom w:val="0"/>
      <w:divBdr>
        <w:top w:val="none" w:sz="0" w:space="0" w:color="auto"/>
        <w:left w:val="none" w:sz="0" w:space="0" w:color="auto"/>
        <w:bottom w:val="none" w:sz="0" w:space="0" w:color="auto"/>
        <w:right w:val="none" w:sz="0" w:space="0" w:color="auto"/>
      </w:divBdr>
    </w:div>
    <w:div w:id="711266578">
      <w:bodyDiv w:val="1"/>
      <w:marLeft w:val="0"/>
      <w:marRight w:val="0"/>
      <w:marTop w:val="0"/>
      <w:marBottom w:val="0"/>
      <w:divBdr>
        <w:top w:val="none" w:sz="0" w:space="0" w:color="auto"/>
        <w:left w:val="none" w:sz="0" w:space="0" w:color="auto"/>
        <w:bottom w:val="none" w:sz="0" w:space="0" w:color="auto"/>
        <w:right w:val="none" w:sz="0" w:space="0" w:color="auto"/>
      </w:divBdr>
    </w:div>
    <w:div w:id="760106379">
      <w:bodyDiv w:val="1"/>
      <w:marLeft w:val="0"/>
      <w:marRight w:val="0"/>
      <w:marTop w:val="0"/>
      <w:marBottom w:val="0"/>
      <w:divBdr>
        <w:top w:val="none" w:sz="0" w:space="0" w:color="auto"/>
        <w:left w:val="none" w:sz="0" w:space="0" w:color="auto"/>
        <w:bottom w:val="none" w:sz="0" w:space="0" w:color="auto"/>
        <w:right w:val="none" w:sz="0" w:space="0" w:color="auto"/>
      </w:divBdr>
    </w:div>
    <w:div w:id="838495843">
      <w:bodyDiv w:val="1"/>
      <w:marLeft w:val="0"/>
      <w:marRight w:val="0"/>
      <w:marTop w:val="0"/>
      <w:marBottom w:val="0"/>
      <w:divBdr>
        <w:top w:val="none" w:sz="0" w:space="0" w:color="auto"/>
        <w:left w:val="none" w:sz="0" w:space="0" w:color="auto"/>
        <w:bottom w:val="none" w:sz="0" w:space="0" w:color="auto"/>
        <w:right w:val="none" w:sz="0" w:space="0" w:color="auto"/>
      </w:divBdr>
    </w:div>
    <w:div w:id="879822831">
      <w:bodyDiv w:val="1"/>
      <w:marLeft w:val="0"/>
      <w:marRight w:val="0"/>
      <w:marTop w:val="0"/>
      <w:marBottom w:val="0"/>
      <w:divBdr>
        <w:top w:val="none" w:sz="0" w:space="0" w:color="auto"/>
        <w:left w:val="none" w:sz="0" w:space="0" w:color="auto"/>
        <w:bottom w:val="none" w:sz="0" w:space="0" w:color="auto"/>
        <w:right w:val="none" w:sz="0" w:space="0" w:color="auto"/>
      </w:divBdr>
    </w:div>
    <w:div w:id="897548088">
      <w:bodyDiv w:val="1"/>
      <w:marLeft w:val="0"/>
      <w:marRight w:val="0"/>
      <w:marTop w:val="0"/>
      <w:marBottom w:val="0"/>
      <w:divBdr>
        <w:top w:val="none" w:sz="0" w:space="0" w:color="auto"/>
        <w:left w:val="none" w:sz="0" w:space="0" w:color="auto"/>
        <w:bottom w:val="none" w:sz="0" w:space="0" w:color="auto"/>
        <w:right w:val="none" w:sz="0" w:space="0" w:color="auto"/>
      </w:divBdr>
    </w:div>
    <w:div w:id="923682904">
      <w:bodyDiv w:val="1"/>
      <w:marLeft w:val="0"/>
      <w:marRight w:val="0"/>
      <w:marTop w:val="0"/>
      <w:marBottom w:val="0"/>
      <w:divBdr>
        <w:top w:val="none" w:sz="0" w:space="0" w:color="auto"/>
        <w:left w:val="none" w:sz="0" w:space="0" w:color="auto"/>
        <w:bottom w:val="none" w:sz="0" w:space="0" w:color="auto"/>
        <w:right w:val="none" w:sz="0" w:space="0" w:color="auto"/>
      </w:divBdr>
    </w:div>
    <w:div w:id="1082991999">
      <w:bodyDiv w:val="1"/>
      <w:marLeft w:val="0"/>
      <w:marRight w:val="0"/>
      <w:marTop w:val="0"/>
      <w:marBottom w:val="0"/>
      <w:divBdr>
        <w:top w:val="none" w:sz="0" w:space="0" w:color="auto"/>
        <w:left w:val="none" w:sz="0" w:space="0" w:color="auto"/>
        <w:bottom w:val="none" w:sz="0" w:space="0" w:color="auto"/>
        <w:right w:val="none" w:sz="0" w:space="0" w:color="auto"/>
      </w:divBdr>
    </w:div>
    <w:div w:id="1113478319">
      <w:bodyDiv w:val="1"/>
      <w:marLeft w:val="0"/>
      <w:marRight w:val="0"/>
      <w:marTop w:val="0"/>
      <w:marBottom w:val="0"/>
      <w:divBdr>
        <w:top w:val="none" w:sz="0" w:space="0" w:color="auto"/>
        <w:left w:val="none" w:sz="0" w:space="0" w:color="auto"/>
        <w:bottom w:val="none" w:sz="0" w:space="0" w:color="auto"/>
        <w:right w:val="none" w:sz="0" w:space="0" w:color="auto"/>
      </w:divBdr>
    </w:div>
    <w:div w:id="1152796898">
      <w:bodyDiv w:val="1"/>
      <w:marLeft w:val="0"/>
      <w:marRight w:val="0"/>
      <w:marTop w:val="0"/>
      <w:marBottom w:val="0"/>
      <w:divBdr>
        <w:top w:val="none" w:sz="0" w:space="0" w:color="auto"/>
        <w:left w:val="none" w:sz="0" w:space="0" w:color="auto"/>
        <w:bottom w:val="none" w:sz="0" w:space="0" w:color="auto"/>
        <w:right w:val="none" w:sz="0" w:space="0" w:color="auto"/>
      </w:divBdr>
    </w:div>
    <w:div w:id="1182278486">
      <w:bodyDiv w:val="1"/>
      <w:marLeft w:val="0"/>
      <w:marRight w:val="0"/>
      <w:marTop w:val="0"/>
      <w:marBottom w:val="0"/>
      <w:divBdr>
        <w:top w:val="none" w:sz="0" w:space="0" w:color="auto"/>
        <w:left w:val="none" w:sz="0" w:space="0" w:color="auto"/>
        <w:bottom w:val="none" w:sz="0" w:space="0" w:color="auto"/>
        <w:right w:val="none" w:sz="0" w:space="0" w:color="auto"/>
      </w:divBdr>
    </w:div>
    <w:div w:id="1215777960">
      <w:bodyDiv w:val="1"/>
      <w:marLeft w:val="0"/>
      <w:marRight w:val="0"/>
      <w:marTop w:val="0"/>
      <w:marBottom w:val="0"/>
      <w:divBdr>
        <w:top w:val="none" w:sz="0" w:space="0" w:color="auto"/>
        <w:left w:val="none" w:sz="0" w:space="0" w:color="auto"/>
        <w:bottom w:val="none" w:sz="0" w:space="0" w:color="auto"/>
        <w:right w:val="none" w:sz="0" w:space="0" w:color="auto"/>
      </w:divBdr>
    </w:div>
    <w:div w:id="1248273756">
      <w:bodyDiv w:val="1"/>
      <w:marLeft w:val="0"/>
      <w:marRight w:val="0"/>
      <w:marTop w:val="0"/>
      <w:marBottom w:val="0"/>
      <w:divBdr>
        <w:top w:val="none" w:sz="0" w:space="0" w:color="auto"/>
        <w:left w:val="none" w:sz="0" w:space="0" w:color="auto"/>
        <w:bottom w:val="none" w:sz="0" w:space="0" w:color="auto"/>
        <w:right w:val="none" w:sz="0" w:space="0" w:color="auto"/>
      </w:divBdr>
    </w:div>
    <w:div w:id="1265111598">
      <w:bodyDiv w:val="1"/>
      <w:marLeft w:val="0"/>
      <w:marRight w:val="0"/>
      <w:marTop w:val="0"/>
      <w:marBottom w:val="0"/>
      <w:divBdr>
        <w:top w:val="none" w:sz="0" w:space="0" w:color="auto"/>
        <w:left w:val="none" w:sz="0" w:space="0" w:color="auto"/>
        <w:bottom w:val="none" w:sz="0" w:space="0" w:color="auto"/>
        <w:right w:val="none" w:sz="0" w:space="0" w:color="auto"/>
      </w:divBdr>
    </w:div>
    <w:div w:id="1296638476">
      <w:bodyDiv w:val="1"/>
      <w:marLeft w:val="0"/>
      <w:marRight w:val="0"/>
      <w:marTop w:val="0"/>
      <w:marBottom w:val="0"/>
      <w:divBdr>
        <w:top w:val="none" w:sz="0" w:space="0" w:color="auto"/>
        <w:left w:val="none" w:sz="0" w:space="0" w:color="auto"/>
        <w:bottom w:val="none" w:sz="0" w:space="0" w:color="auto"/>
        <w:right w:val="none" w:sz="0" w:space="0" w:color="auto"/>
      </w:divBdr>
    </w:div>
    <w:div w:id="1314289967">
      <w:bodyDiv w:val="1"/>
      <w:marLeft w:val="0"/>
      <w:marRight w:val="0"/>
      <w:marTop w:val="0"/>
      <w:marBottom w:val="0"/>
      <w:divBdr>
        <w:top w:val="none" w:sz="0" w:space="0" w:color="auto"/>
        <w:left w:val="none" w:sz="0" w:space="0" w:color="auto"/>
        <w:bottom w:val="none" w:sz="0" w:space="0" w:color="auto"/>
        <w:right w:val="none" w:sz="0" w:space="0" w:color="auto"/>
      </w:divBdr>
    </w:div>
    <w:div w:id="1321035802">
      <w:bodyDiv w:val="1"/>
      <w:marLeft w:val="0"/>
      <w:marRight w:val="0"/>
      <w:marTop w:val="0"/>
      <w:marBottom w:val="0"/>
      <w:divBdr>
        <w:top w:val="none" w:sz="0" w:space="0" w:color="auto"/>
        <w:left w:val="none" w:sz="0" w:space="0" w:color="auto"/>
        <w:bottom w:val="none" w:sz="0" w:space="0" w:color="auto"/>
        <w:right w:val="none" w:sz="0" w:space="0" w:color="auto"/>
      </w:divBdr>
    </w:div>
    <w:div w:id="1341198995">
      <w:bodyDiv w:val="1"/>
      <w:marLeft w:val="0"/>
      <w:marRight w:val="0"/>
      <w:marTop w:val="0"/>
      <w:marBottom w:val="0"/>
      <w:divBdr>
        <w:top w:val="none" w:sz="0" w:space="0" w:color="auto"/>
        <w:left w:val="none" w:sz="0" w:space="0" w:color="auto"/>
        <w:bottom w:val="none" w:sz="0" w:space="0" w:color="auto"/>
        <w:right w:val="none" w:sz="0" w:space="0" w:color="auto"/>
      </w:divBdr>
    </w:div>
    <w:div w:id="1381902505">
      <w:bodyDiv w:val="1"/>
      <w:marLeft w:val="0"/>
      <w:marRight w:val="0"/>
      <w:marTop w:val="0"/>
      <w:marBottom w:val="0"/>
      <w:divBdr>
        <w:top w:val="none" w:sz="0" w:space="0" w:color="auto"/>
        <w:left w:val="none" w:sz="0" w:space="0" w:color="auto"/>
        <w:bottom w:val="none" w:sz="0" w:space="0" w:color="auto"/>
        <w:right w:val="none" w:sz="0" w:space="0" w:color="auto"/>
      </w:divBdr>
    </w:div>
    <w:div w:id="1417551933">
      <w:bodyDiv w:val="1"/>
      <w:marLeft w:val="0"/>
      <w:marRight w:val="0"/>
      <w:marTop w:val="0"/>
      <w:marBottom w:val="0"/>
      <w:divBdr>
        <w:top w:val="none" w:sz="0" w:space="0" w:color="auto"/>
        <w:left w:val="none" w:sz="0" w:space="0" w:color="auto"/>
        <w:bottom w:val="none" w:sz="0" w:space="0" w:color="auto"/>
        <w:right w:val="none" w:sz="0" w:space="0" w:color="auto"/>
      </w:divBdr>
    </w:div>
    <w:div w:id="1462648691">
      <w:bodyDiv w:val="1"/>
      <w:marLeft w:val="0"/>
      <w:marRight w:val="0"/>
      <w:marTop w:val="0"/>
      <w:marBottom w:val="0"/>
      <w:divBdr>
        <w:top w:val="none" w:sz="0" w:space="0" w:color="auto"/>
        <w:left w:val="none" w:sz="0" w:space="0" w:color="auto"/>
        <w:bottom w:val="none" w:sz="0" w:space="0" w:color="auto"/>
        <w:right w:val="none" w:sz="0" w:space="0" w:color="auto"/>
      </w:divBdr>
    </w:div>
    <w:div w:id="1475292802">
      <w:bodyDiv w:val="1"/>
      <w:marLeft w:val="0"/>
      <w:marRight w:val="0"/>
      <w:marTop w:val="0"/>
      <w:marBottom w:val="0"/>
      <w:divBdr>
        <w:top w:val="none" w:sz="0" w:space="0" w:color="auto"/>
        <w:left w:val="none" w:sz="0" w:space="0" w:color="auto"/>
        <w:bottom w:val="none" w:sz="0" w:space="0" w:color="auto"/>
        <w:right w:val="none" w:sz="0" w:space="0" w:color="auto"/>
      </w:divBdr>
    </w:div>
    <w:div w:id="1526360594">
      <w:bodyDiv w:val="1"/>
      <w:marLeft w:val="0"/>
      <w:marRight w:val="0"/>
      <w:marTop w:val="0"/>
      <w:marBottom w:val="0"/>
      <w:divBdr>
        <w:top w:val="none" w:sz="0" w:space="0" w:color="auto"/>
        <w:left w:val="none" w:sz="0" w:space="0" w:color="auto"/>
        <w:bottom w:val="none" w:sz="0" w:space="0" w:color="auto"/>
        <w:right w:val="none" w:sz="0" w:space="0" w:color="auto"/>
      </w:divBdr>
    </w:div>
    <w:div w:id="1658682639">
      <w:bodyDiv w:val="1"/>
      <w:marLeft w:val="0"/>
      <w:marRight w:val="0"/>
      <w:marTop w:val="0"/>
      <w:marBottom w:val="0"/>
      <w:divBdr>
        <w:top w:val="none" w:sz="0" w:space="0" w:color="auto"/>
        <w:left w:val="none" w:sz="0" w:space="0" w:color="auto"/>
        <w:bottom w:val="none" w:sz="0" w:space="0" w:color="auto"/>
        <w:right w:val="none" w:sz="0" w:space="0" w:color="auto"/>
      </w:divBdr>
    </w:div>
    <w:div w:id="1780637703">
      <w:bodyDiv w:val="1"/>
      <w:marLeft w:val="0"/>
      <w:marRight w:val="0"/>
      <w:marTop w:val="0"/>
      <w:marBottom w:val="0"/>
      <w:divBdr>
        <w:top w:val="none" w:sz="0" w:space="0" w:color="auto"/>
        <w:left w:val="none" w:sz="0" w:space="0" w:color="auto"/>
        <w:bottom w:val="none" w:sz="0" w:space="0" w:color="auto"/>
        <w:right w:val="none" w:sz="0" w:space="0" w:color="auto"/>
      </w:divBdr>
    </w:div>
    <w:div w:id="1891454005">
      <w:bodyDiv w:val="1"/>
      <w:marLeft w:val="0"/>
      <w:marRight w:val="0"/>
      <w:marTop w:val="0"/>
      <w:marBottom w:val="0"/>
      <w:divBdr>
        <w:top w:val="none" w:sz="0" w:space="0" w:color="auto"/>
        <w:left w:val="none" w:sz="0" w:space="0" w:color="auto"/>
        <w:bottom w:val="none" w:sz="0" w:space="0" w:color="auto"/>
        <w:right w:val="none" w:sz="0" w:space="0" w:color="auto"/>
      </w:divBdr>
    </w:div>
    <w:div w:id="1912809928">
      <w:bodyDiv w:val="1"/>
      <w:marLeft w:val="0"/>
      <w:marRight w:val="0"/>
      <w:marTop w:val="0"/>
      <w:marBottom w:val="0"/>
      <w:divBdr>
        <w:top w:val="none" w:sz="0" w:space="0" w:color="auto"/>
        <w:left w:val="none" w:sz="0" w:space="0" w:color="auto"/>
        <w:bottom w:val="none" w:sz="0" w:space="0" w:color="auto"/>
        <w:right w:val="none" w:sz="0" w:space="0" w:color="auto"/>
      </w:divBdr>
    </w:div>
    <w:div w:id="1953897273">
      <w:bodyDiv w:val="1"/>
      <w:marLeft w:val="0"/>
      <w:marRight w:val="0"/>
      <w:marTop w:val="0"/>
      <w:marBottom w:val="0"/>
      <w:divBdr>
        <w:top w:val="none" w:sz="0" w:space="0" w:color="auto"/>
        <w:left w:val="none" w:sz="0" w:space="0" w:color="auto"/>
        <w:bottom w:val="none" w:sz="0" w:space="0" w:color="auto"/>
        <w:right w:val="none" w:sz="0" w:space="0" w:color="auto"/>
      </w:divBdr>
    </w:div>
    <w:div w:id="1973320726">
      <w:bodyDiv w:val="1"/>
      <w:marLeft w:val="0"/>
      <w:marRight w:val="0"/>
      <w:marTop w:val="0"/>
      <w:marBottom w:val="0"/>
      <w:divBdr>
        <w:top w:val="none" w:sz="0" w:space="0" w:color="auto"/>
        <w:left w:val="none" w:sz="0" w:space="0" w:color="auto"/>
        <w:bottom w:val="none" w:sz="0" w:space="0" w:color="auto"/>
        <w:right w:val="none" w:sz="0" w:space="0" w:color="auto"/>
      </w:divBdr>
    </w:div>
    <w:div w:id="1974410556">
      <w:bodyDiv w:val="1"/>
      <w:marLeft w:val="0"/>
      <w:marRight w:val="0"/>
      <w:marTop w:val="0"/>
      <w:marBottom w:val="0"/>
      <w:divBdr>
        <w:top w:val="none" w:sz="0" w:space="0" w:color="auto"/>
        <w:left w:val="none" w:sz="0" w:space="0" w:color="auto"/>
        <w:bottom w:val="none" w:sz="0" w:space="0" w:color="auto"/>
        <w:right w:val="none" w:sz="0" w:space="0" w:color="auto"/>
      </w:divBdr>
    </w:div>
    <w:div w:id="1997298443">
      <w:bodyDiv w:val="1"/>
      <w:marLeft w:val="0"/>
      <w:marRight w:val="0"/>
      <w:marTop w:val="0"/>
      <w:marBottom w:val="0"/>
      <w:divBdr>
        <w:top w:val="none" w:sz="0" w:space="0" w:color="auto"/>
        <w:left w:val="none" w:sz="0" w:space="0" w:color="auto"/>
        <w:bottom w:val="none" w:sz="0" w:space="0" w:color="auto"/>
        <w:right w:val="none" w:sz="0" w:space="0" w:color="auto"/>
      </w:divBdr>
    </w:div>
    <w:div w:id="2070684515">
      <w:bodyDiv w:val="1"/>
      <w:marLeft w:val="0"/>
      <w:marRight w:val="0"/>
      <w:marTop w:val="0"/>
      <w:marBottom w:val="0"/>
      <w:divBdr>
        <w:top w:val="none" w:sz="0" w:space="0" w:color="auto"/>
        <w:left w:val="none" w:sz="0" w:space="0" w:color="auto"/>
        <w:bottom w:val="none" w:sz="0" w:space="0" w:color="auto"/>
        <w:right w:val="none" w:sz="0" w:space="0" w:color="auto"/>
      </w:divBdr>
    </w:div>
    <w:div w:id="213517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tama.com/index.php/tag/bbni/" TargetMode="External"/><Relationship Id="rId13" Type="http://schemas.openxmlformats.org/officeDocument/2006/relationships/hyperlink" Target="https://britama.com/index.php/tag/bbtn/" TargetMode="External"/><Relationship Id="rId18" Type="http://schemas.openxmlformats.org/officeDocument/2006/relationships/hyperlink" Target="https://britama.com/index.php/tag/beks/" TargetMode="External"/><Relationship Id="rId26" Type="http://schemas.openxmlformats.org/officeDocument/2006/relationships/hyperlink" Target="http://www.britama.com/index.php/2010/12/jadwal-ipo-bank-sinarmas-tbk/" TargetMode="External"/><Relationship Id="rId39"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s://britama.com/index.php/tag/bnii/" TargetMode="External"/><Relationship Id="rId34" Type="http://schemas.openxmlformats.org/officeDocument/2006/relationships/hyperlink" Target="https://britama.com/index.php/tag/maya/" TargetMode="External"/><Relationship Id="rId42" Type="http://schemas.openxmlformats.org/officeDocument/2006/relationships/image" Target="media/image6.jpeg"/><Relationship Id="rId7" Type="http://schemas.openxmlformats.org/officeDocument/2006/relationships/hyperlink" Target="https://britama.com/index.php/tag/bbca/" TargetMode="External"/><Relationship Id="rId12" Type="http://schemas.openxmlformats.org/officeDocument/2006/relationships/hyperlink" Target="https://britama.com/index.php/2018/07/sejarah-dan-profil-singkat-bris/" TargetMode="External"/><Relationship Id="rId17" Type="http://schemas.openxmlformats.org/officeDocument/2006/relationships/hyperlink" Target="https://britama.com/index.php/tag/bdmn/" TargetMode="External"/><Relationship Id="rId25" Type="http://schemas.openxmlformats.org/officeDocument/2006/relationships/hyperlink" Target="http://www.britama.com/index.php/2012/12/sejarah-dan-profil-singkat-smma/" TargetMode="External"/><Relationship Id="rId33" Type="http://schemas.openxmlformats.org/officeDocument/2006/relationships/hyperlink" Target="http://www.britama.com/index.php/2014/07/ipo-saham-pt-bank-dinar-indonesia/" TargetMode="External"/><Relationship Id="rId38"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britama.com/index.php/tag/bcic/" TargetMode="External"/><Relationship Id="rId20" Type="http://schemas.openxmlformats.org/officeDocument/2006/relationships/hyperlink" Target="https://britama.com/index.php/tag/bnga/" TargetMode="External"/><Relationship Id="rId29" Type="http://schemas.openxmlformats.org/officeDocument/2006/relationships/hyperlink" Target="https://britama.com/index.php/2018/07/sejarah-dan-profil-singkat-btps/" TargetMode="External"/><Relationship Id="rId41"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tama.com/index.php/2015/10/sejarah-dan-profil-singkat-broker-od/" TargetMode="External"/><Relationship Id="rId24" Type="http://schemas.openxmlformats.org/officeDocument/2006/relationships/hyperlink" Target="http://www.britama.com/index.php/tag/bsim/" TargetMode="External"/><Relationship Id="rId32" Type="http://schemas.openxmlformats.org/officeDocument/2006/relationships/hyperlink" Target="http://www.britama.com/index.php/tag/dnar/" TargetMode="External"/><Relationship Id="rId37" Type="http://schemas.openxmlformats.org/officeDocument/2006/relationships/image" Target="media/image1.emf"/><Relationship Id="rId40" Type="http://schemas.openxmlformats.org/officeDocument/2006/relationships/image" Target="media/image4.jpe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britama.com/index.php/2015/01/penawaran-umum-perdana-ipo-saham-pt-bank-yudha-bhakti-tbk/" TargetMode="External"/><Relationship Id="rId23" Type="http://schemas.openxmlformats.org/officeDocument/2006/relationships/hyperlink" Target="http://www.britama.com/index.php/tag/bnli/" TargetMode="External"/><Relationship Id="rId28" Type="http://schemas.openxmlformats.org/officeDocument/2006/relationships/hyperlink" Target="http://www.britama.com/index.php/tag/btpn/" TargetMode="External"/><Relationship Id="rId36" Type="http://schemas.openxmlformats.org/officeDocument/2006/relationships/hyperlink" Target="http://www.britama.com/index.php/tag/nisp/" TargetMode="External"/><Relationship Id="rId10" Type="http://schemas.openxmlformats.org/officeDocument/2006/relationships/hyperlink" Target="https://britama.com/index.php/2012/05/sejarah-dan-profil-singkat-agro/" TargetMode="External"/><Relationship Id="rId19" Type="http://schemas.openxmlformats.org/officeDocument/2006/relationships/hyperlink" Target="https://britama.com/index.php/tag/bjbr/" TargetMode="External"/><Relationship Id="rId31" Type="http://schemas.openxmlformats.org/officeDocument/2006/relationships/hyperlink" Target="https://britama.com/index.php/2013/08/sejarah-dan-profil-singkat-vico/"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britama.com/index.php/tag/bbri/" TargetMode="External"/><Relationship Id="rId14" Type="http://schemas.openxmlformats.org/officeDocument/2006/relationships/hyperlink" Target="http://www.britama.com/index.php/tag/bbyb/" TargetMode="External"/><Relationship Id="rId22" Type="http://schemas.openxmlformats.org/officeDocument/2006/relationships/hyperlink" Target="https://britama.com/index.php/2012/05/sejarah-dan-profil-singkat-womf/" TargetMode="External"/><Relationship Id="rId27" Type="http://schemas.openxmlformats.org/officeDocument/2006/relationships/hyperlink" Target="http://www.britama.com/index.php/tag/bswd/" TargetMode="External"/><Relationship Id="rId30" Type="http://schemas.openxmlformats.org/officeDocument/2006/relationships/hyperlink" Target="https://britama.com/index.php/tag/bvic/" TargetMode="External"/><Relationship Id="rId35" Type="http://schemas.openxmlformats.org/officeDocument/2006/relationships/hyperlink" Target="https://britama.com/index.php/tag/mega/" TargetMode="External"/><Relationship Id="rId43"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27EC9-C075-41B8-95A3-6BBC9C831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47</Pages>
  <Words>11520</Words>
  <Characters>65670</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8</cp:revision>
  <dcterms:created xsi:type="dcterms:W3CDTF">2023-07-15T05:31:00Z</dcterms:created>
  <dcterms:modified xsi:type="dcterms:W3CDTF">2023-07-31T08:10:00Z</dcterms:modified>
</cp:coreProperties>
</file>