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Response to reviewers</w:t>
      </w:r>
      <w:r w:rsidRPr="00C43C3C">
        <w:rPr>
          <w:b/>
          <w:bCs/>
          <w:sz w:val="24"/>
          <w:szCs w:val="24"/>
        </w:rPr>
        <w:t xml:space="preserve">: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1BDE8C6D"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for their thoughtful review of the manuscript.</w:t>
      </w:r>
      <w:r w:rsidR="00353197">
        <w:t xml:space="preserve"> The </w:t>
      </w:r>
      <w:r w:rsidR="0090205A">
        <w:t xml:space="preserve">reviews have been </w:t>
      </w:r>
      <w:r w:rsidR="00353197">
        <w:t>helpful for improving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I enjoyed this paper and think it makes a contribution to the literature.  However, I would like to see some improvements made.</w:t>
      </w:r>
    </w:p>
    <w:p w14:paraId="3572477D" w14:textId="22D1F2B7" w:rsidR="00353197" w:rsidRPr="0031509F" w:rsidRDefault="00353197" w:rsidP="00353197">
      <w:pPr>
        <w:pStyle w:val="ListParagraph"/>
        <w:numPr>
          <w:ilvl w:val="0"/>
          <w:numId w:val="1"/>
        </w:numPr>
        <w:rPr>
          <w:i/>
          <w:iCs/>
        </w:rPr>
      </w:pPr>
      <w:r w:rsidRPr="00353197">
        <w:rPr>
          <w:i/>
          <w:iCs/>
        </w:rPr>
        <w:t>Briefly discussing the experience from the professor side of things would be helpful. So in addition to the student survey it would be helpful to read how hard it was to set up and work with the Kaggle competitions and any logistical challenges.</w:t>
      </w:r>
    </w:p>
    <w:p w14:paraId="4B91E196" w14:textId="5CD292C6" w:rsidR="00353197" w:rsidRPr="00785991" w:rsidRDefault="005D7497" w:rsidP="00785991">
      <w:pPr>
        <w:ind w:left="357" w:firstLine="363"/>
        <w:jc w:val="both"/>
        <w:rPr>
          <w:color w:val="0070C0"/>
        </w:rPr>
      </w:pPr>
      <w:r>
        <w:rPr>
          <w:color w:val="0070C0"/>
        </w:rPr>
        <w:t xml:space="preserve">Additional information has been added </w:t>
      </w:r>
      <w:r w:rsidR="006C28D4">
        <w:rPr>
          <w:color w:val="0070C0"/>
        </w:rPr>
        <w:t>a Teachers corner, Section</w:t>
      </w:r>
      <w:r w:rsidR="00267611">
        <w:rPr>
          <w:color w:val="0070C0"/>
        </w:rPr>
        <w:t xml:space="preserve"> </w:t>
      </w:r>
      <w:r w:rsidR="006C28D4">
        <w:rPr>
          <w:color w:val="0070C0"/>
        </w:rPr>
        <w:t>5,</w:t>
      </w:r>
      <w:r w:rsidR="00122048">
        <w:rPr>
          <w:color w:val="0070C0"/>
        </w:rPr>
        <w:t xml:space="preserve"> and a video provided in supplementary material. </w:t>
      </w:r>
      <w:bookmarkStart w:id="0" w:name="_GoBack"/>
      <w:bookmarkEnd w:id="0"/>
    </w:p>
    <w:p w14:paraId="36882736" w14:textId="77777777" w:rsidR="00353197" w:rsidRPr="00353197" w:rsidRDefault="00353197" w:rsidP="00353197">
      <w:pPr>
        <w:pStyle w:val="ListParagraph"/>
        <w:numPr>
          <w:ilvl w:val="0"/>
          <w:numId w:val="1"/>
        </w:numPr>
        <w:rPr>
          <w:i/>
          <w:iCs/>
        </w:rPr>
      </w:pPr>
      <w:r w:rsidRPr="00353197">
        <w:rPr>
          <w:i/>
          <w:iCs/>
        </w:rPr>
        <w:t>Also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205515CA" w14:textId="77777777" w:rsidR="00353197" w:rsidRDefault="00353197" w:rsidP="00353197"/>
    <w:p w14:paraId="7B31B1AF" w14:textId="79A5BB82" w:rsidR="00353197" w:rsidRPr="007C2C20" w:rsidRDefault="00353197" w:rsidP="00353197">
      <w:pPr>
        <w:ind w:firstLine="720"/>
        <w:rPr>
          <w:color w:val="FF0000"/>
        </w:rPr>
      </w:pPr>
      <w:r w:rsidRPr="007C2C20">
        <w:rPr>
          <w:color w:val="FF0000"/>
        </w:rPr>
        <w:t xml:space="preserve">DI </w:t>
      </w:r>
      <w:r w:rsidR="00E86E5D">
        <w:rPr>
          <w:color w:val="FF0000"/>
        </w:rPr>
        <w:t>check the confounding with</w:t>
      </w:r>
      <w:r w:rsidRPr="007C2C20">
        <w:rPr>
          <w:color w:val="FF0000"/>
        </w:rPr>
        <w:t xml:space="preserve"> ETC2420</w:t>
      </w:r>
      <w:r w:rsidR="00E86E5D">
        <w:rPr>
          <w:color w:val="FF0000"/>
        </w:rPr>
        <w:t xml:space="preserve"> – check on future research in final section</w:t>
      </w:r>
    </w:p>
    <w:p w14:paraId="32675356" w14:textId="40F4C775" w:rsidR="007C2C20" w:rsidRPr="007C2C20" w:rsidRDefault="007C2C20" w:rsidP="00353197">
      <w:pPr>
        <w:ind w:firstLine="720"/>
        <w:rPr>
          <w:color w:val="FF0000"/>
        </w:rPr>
      </w:pPr>
    </w:p>
    <w:p w14:paraId="0994BCB5" w14:textId="3E37CE40" w:rsidR="007C2C20" w:rsidRPr="007C2C20" w:rsidRDefault="007C2C20" w:rsidP="00353197">
      <w:pPr>
        <w:ind w:firstLine="720"/>
        <w:rPr>
          <w:color w:val="FF0000"/>
        </w:rPr>
      </w:pPr>
      <w:r w:rsidRPr="007C2C20">
        <w:rPr>
          <w:color w:val="FF0000"/>
        </w:rPr>
        <w:t>Julia’s comments</w:t>
      </w:r>
      <w:r w:rsidRPr="007C2C20">
        <w:rPr>
          <w:color w:val="FF0000"/>
          <w:sz w:val="28"/>
          <w:szCs w:val="28"/>
        </w:rPr>
        <w:t xml:space="preserve"> </w:t>
      </w:r>
      <w:r w:rsidRPr="007C2C20">
        <w:rPr>
          <w:color w:val="FF0000"/>
        </w:rPr>
        <w:t>to discuss with Di:</w:t>
      </w:r>
    </w:p>
    <w:p w14:paraId="64EF77BD" w14:textId="43E81C91" w:rsidR="007C2C20" w:rsidRPr="007C2C20" w:rsidRDefault="007C2C20" w:rsidP="009E28D6">
      <w:pPr>
        <w:ind w:firstLine="720"/>
        <w:rPr>
          <w:color w:val="2F5496" w:themeColor="accent1" w:themeShade="BF"/>
        </w:rPr>
      </w:pPr>
      <w:r w:rsidRPr="007C2C20">
        <w:rPr>
          <w:color w:val="2F5496" w:themeColor="accent1" w:themeShade="BF"/>
        </w:rPr>
        <w:t>The confounder issue was addressed in “Participants” and “Performances” sections.</w:t>
      </w:r>
      <w:r w:rsidR="009E28D6">
        <w:rPr>
          <w:color w:val="2F5496" w:themeColor="accent1" w:themeShade="BF"/>
        </w:rPr>
        <w:t xml:space="preserve"> Future Work sections was add. </w:t>
      </w:r>
    </w:p>
    <w:p w14:paraId="3B055D9B" w14:textId="77777777" w:rsidR="007C2C20" w:rsidRPr="007C2C20" w:rsidRDefault="007C2C20" w:rsidP="007C2C20">
      <w:pPr>
        <w:ind w:left="720"/>
        <w:rPr>
          <w:color w:val="FF0000"/>
        </w:rPr>
      </w:pPr>
      <w:r w:rsidRPr="007C2C20">
        <w:rPr>
          <w:color w:val="FF0000"/>
        </w:rPr>
        <w:t>Other limitations - ….</w:t>
      </w:r>
    </w:p>
    <w:p w14:paraId="4FDC681B" w14:textId="2DE1A9EC" w:rsidR="007C2C20" w:rsidRPr="007C2C20" w:rsidRDefault="007C2C20" w:rsidP="007C2C20">
      <w:pPr>
        <w:pStyle w:val="ListParagraph"/>
        <w:numPr>
          <w:ilvl w:val="0"/>
          <w:numId w:val="5"/>
        </w:numPr>
        <w:rPr>
          <w:color w:val="FF0000"/>
        </w:rPr>
      </w:pPr>
      <w:r w:rsidRPr="007C2C20">
        <w:rPr>
          <w:color w:val="FF0000"/>
        </w:rPr>
        <w:t>At the seminar, someone noted that the fact that we artificially generated some variables in the Melbourne Price dataset is cheating.  I personally find this acceptable in pedagogical settings.</w:t>
      </w:r>
    </w:p>
    <w:p w14:paraId="6BA45257" w14:textId="03F0372D" w:rsidR="007C2C20" w:rsidRPr="007C2C20" w:rsidRDefault="007C2C20" w:rsidP="007C2C20">
      <w:pPr>
        <w:pStyle w:val="ListParagraph"/>
        <w:numPr>
          <w:ilvl w:val="0"/>
          <w:numId w:val="5"/>
        </w:numPr>
        <w:rPr>
          <w:color w:val="FF0000"/>
        </w:rPr>
      </w:pPr>
      <w:r w:rsidRPr="007C2C20">
        <w:rPr>
          <w:color w:val="FF0000"/>
        </w:rPr>
        <w:t xml:space="preserve">In the future work, it is worth to consider asking students to perform a short quiz to test their understanding of the material before and after the competition. It will provide additional base line to the prior knowledge before the competition. It will also help assess how much their understanding of the material improved due to the competition.  </w:t>
      </w:r>
    </w:p>
    <w:p w14:paraId="7DF05579" w14:textId="77777777" w:rsidR="007C2C20" w:rsidRDefault="007C2C20" w:rsidP="00353197">
      <w:pPr>
        <w:ind w:firstLine="720"/>
        <w:rPr>
          <w:color w:val="2F5496" w:themeColor="accent1" w:themeShade="BF"/>
        </w:rPr>
      </w:pPr>
    </w:p>
    <w:p w14:paraId="7782E9C2" w14:textId="77777777" w:rsidR="007C2C20" w:rsidRPr="00353197" w:rsidRDefault="007C2C20" w:rsidP="00353197">
      <w:pPr>
        <w:ind w:firstLine="720"/>
        <w:rPr>
          <w:color w:val="2F5496" w:themeColor="accent1" w:themeShade="BF"/>
        </w:rPr>
      </w:pPr>
    </w:p>
    <w:p w14:paraId="3C7A7578" w14:textId="77777777" w:rsidR="00353197" w:rsidRDefault="00353197" w:rsidP="00353197"/>
    <w:p w14:paraId="40F94FD7" w14:textId="77777777" w:rsidR="00353197" w:rsidRPr="00353197" w:rsidRDefault="00353197" w:rsidP="00353197">
      <w:pPr>
        <w:pStyle w:val="ListParagraph"/>
        <w:numPr>
          <w:ilvl w:val="0"/>
          <w:numId w:val="1"/>
        </w:numPr>
        <w:rPr>
          <w:i/>
          <w:iCs/>
        </w:rPr>
      </w:pPr>
      <w:r w:rsidRPr="00353197">
        <w:rPr>
          <w:i/>
          <w:iCs/>
        </w:rPr>
        <w:t>Sentence misworded in line 29 page 9</w:t>
      </w:r>
    </w:p>
    <w:p w14:paraId="3778BD61" w14:textId="77777777" w:rsidR="00353197" w:rsidRDefault="00353197" w:rsidP="00353197"/>
    <w:p w14:paraId="2E05F6A6" w14:textId="6EA5F190" w:rsidR="00353197" w:rsidRPr="007C2C20" w:rsidRDefault="00E24A84" w:rsidP="00353197">
      <w:pPr>
        <w:ind w:firstLine="720"/>
        <w:rPr>
          <w:color w:val="0070C0"/>
        </w:rPr>
      </w:pPr>
      <w:r w:rsidRPr="007C2C20">
        <w:rPr>
          <w:color w:val="0070C0"/>
        </w:rPr>
        <w:t>Fixed</w:t>
      </w:r>
    </w:p>
    <w:p w14:paraId="35D411ED" w14:textId="77777777" w:rsidR="00353197" w:rsidRDefault="00353197" w:rsidP="00353197"/>
    <w:p w14:paraId="23C07FD9" w14:textId="77777777" w:rsidR="00353197" w:rsidRPr="00BB310A" w:rsidRDefault="00353197" w:rsidP="00353197">
      <w:pPr>
        <w:pStyle w:val="ListParagraph"/>
        <w:numPr>
          <w:ilvl w:val="0"/>
          <w:numId w:val="1"/>
        </w:numPr>
        <w:rPr>
          <w:i/>
          <w:iCs/>
        </w:rPr>
      </w:pPr>
      <w:r w:rsidRPr="00BB310A">
        <w:rPr>
          <w:i/>
          <w:iCs/>
        </w:rPr>
        <w:t>Also in Figure 3, it would seem there is some non-linearity in a couple of the graphs.  I would like to see that mentioned and discussed.  It seems there is a point of diminishing return, in graphs E and F.</w:t>
      </w:r>
    </w:p>
    <w:p w14:paraId="2AF57E00" w14:textId="77777777" w:rsidR="00353197" w:rsidRDefault="00353197" w:rsidP="00353197"/>
    <w:p w14:paraId="5A49DC1B" w14:textId="4351984E" w:rsidR="00FA7324" w:rsidRPr="007C2C20" w:rsidRDefault="00FA7324" w:rsidP="00FA7324">
      <w:pPr>
        <w:ind w:firstLine="720"/>
        <w:rPr>
          <w:color w:val="0070C0"/>
        </w:rPr>
      </w:pPr>
      <w:r w:rsidRPr="007C2C20">
        <w:rPr>
          <w:color w:val="0070C0"/>
        </w:rPr>
        <w:t>Added several sentences.</w:t>
      </w:r>
    </w:p>
    <w:p w14:paraId="26EF9B7F" w14:textId="77777777" w:rsidR="00353197" w:rsidRPr="00353197" w:rsidRDefault="00353197" w:rsidP="00353197">
      <w:pPr>
        <w:ind w:firstLine="720"/>
        <w:rPr>
          <w:color w:val="2F5496" w:themeColor="accent1" w:themeShade="BF"/>
        </w:rPr>
      </w:pPr>
    </w:p>
    <w:p w14:paraId="512D1447" w14:textId="77777777" w:rsidR="00353197" w:rsidRDefault="00353197" w:rsidP="00353197"/>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368BAA7A" w14:textId="77777777" w:rsidR="00353197" w:rsidRPr="00BB310A" w:rsidRDefault="00353197" w:rsidP="00353197">
      <w:pPr>
        <w:ind w:left="720"/>
        <w:rPr>
          <w:i/>
          <w:iCs/>
        </w:rPr>
      </w:pPr>
      <w:r w:rsidRPr="00BB310A">
        <w:rPr>
          <w:i/>
          <w:iCs/>
        </w:rPr>
        <w:t>Not at all engaged--- up to extremely engaged with choices in between.</w:t>
      </w:r>
    </w:p>
    <w:p w14:paraId="2717CB49" w14:textId="77777777" w:rsidR="00353197" w:rsidRDefault="00353197" w:rsidP="00353197"/>
    <w:p w14:paraId="56DE7580" w14:textId="634579F0" w:rsidR="00353197" w:rsidRPr="005D0A7A" w:rsidRDefault="005655EB" w:rsidP="005D0A7A">
      <w:pPr>
        <w:ind w:left="720"/>
        <w:rPr>
          <w:color w:val="0070C0"/>
        </w:rPr>
      </w:pPr>
      <w:r w:rsidRPr="005D0A7A">
        <w:rPr>
          <w:color w:val="0070C0"/>
        </w:rPr>
        <w:t>Fair comment, we can</w:t>
      </w:r>
      <w:r w:rsidR="007C2C20">
        <w:rPr>
          <w:color w:val="0070C0"/>
        </w:rPr>
        <w:t>’t</w:t>
      </w:r>
      <w:r w:rsidRPr="005D0A7A">
        <w:rPr>
          <w:color w:val="0070C0"/>
        </w:rPr>
        <w:t xml:space="preserve"> change the question wording at this </w:t>
      </w:r>
      <w:r w:rsidR="00EE3891" w:rsidRPr="005D0A7A">
        <w:rPr>
          <w:color w:val="0070C0"/>
        </w:rPr>
        <w:t>stage,</w:t>
      </w:r>
      <w:r w:rsidRPr="005D0A7A">
        <w:rPr>
          <w:color w:val="0070C0"/>
        </w:rPr>
        <w:t xml:space="preserve"> but this limitation is mentioned as part of the survey results analysis in Interest section.</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7C2C20" w:rsidRDefault="000A04EF" w:rsidP="000A04EF">
      <w:pPr>
        <w:ind w:left="720"/>
        <w:rPr>
          <w:color w:val="0070C0"/>
        </w:rPr>
      </w:pPr>
      <w:r w:rsidRPr="007C2C20">
        <w:rPr>
          <w:color w:val="0070C0"/>
        </w:rPr>
        <w:t>Revised the introduction to address this</w:t>
      </w:r>
      <w:r w:rsidR="002830A3" w:rsidRPr="007C2C20">
        <w:rPr>
          <w:color w:val="0070C0"/>
        </w:rPr>
        <w:t>. Expanded the literature review</w:t>
      </w:r>
      <w:r w:rsidRPr="007C2C20">
        <w:rPr>
          <w:color w:val="0070C0"/>
        </w:rPr>
        <w:t>.</w:t>
      </w:r>
      <w:r w:rsidR="00CC7D23" w:rsidRPr="007C2C20">
        <w:rPr>
          <w:color w:val="0070C0"/>
        </w:rPr>
        <w:t xml:space="preserve"> </w:t>
      </w:r>
    </w:p>
    <w:p w14:paraId="2BD5557C" w14:textId="77777777" w:rsidR="00353197" w:rsidRPr="00BB310A" w:rsidRDefault="00353197" w:rsidP="00BB310A">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323D2E8B" w14:textId="77777777" w:rsidR="00353197" w:rsidRDefault="00353197" w:rsidP="00353197"/>
    <w:p w14:paraId="5A1B19EA" w14:textId="59578E63" w:rsidR="005655EB" w:rsidRPr="00353197" w:rsidRDefault="005655EB" w:rsidP="005655EB">
      <w:pPr>
        <w:ind w:firstLine="720"/>
        <w:rPr>
          <w:color w:val="2F5496" w:themeColor="accent1" w:themeShade="BF"/>
        </w:rPr>
      </w:pPr>
      <w:r>
        <w:rPr>
          <w:color w:val="2F5496" w:themeColor="accent1" w:themeShade="BF"/>
        </w:rPr>
        <w:lastRenderedPageBreak/>
        <w:t xml:space="preserve">This has been </w:t>
      </w:r>
      <w:r w:rsidR="00EE3891">
        <w:rPr>
          <w:color w:val="2F5496" w:themeColor="accent1" w:themeShade="BF"/>
        </w:rPr>
        <w:t>explained</w:t>
      </w:r>
      <w:r>
        <w:rPr>
          <w:color w:val="2F5496" w:themeColor="accent1" w:themeShade="BF"/>
        </w:rPr>
        <w:t xml:space="preserve">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702F62AF" w14:textId="16C9E321" w:rsidR="00353197" w:rsidRPr="00BB310A" w:rsidRDefault="00353197" w:rsidP="00BB310A">
      <w:pPr>
        <w:ind w:firstLine="720"/>
        <w:rPr>
          <w:color w:val="002060"/>
        </w:rPr>
      </w:pPr>
      <w:r w:rsidRPr="00BB310A">
        <w:rPr>
          <w:color w:val="002060"/>
        </w:rPr>
        <w:t xml:space="preserve"> (same as reviewer 1)</w:t>
      </w:r>
    </w:p>
    <w:p w14:paraId="64E9CBC2" w14:textId="77777777" w:rsidR="00353197" w:rsidRDefault="00353197" w:rsidP="00353197"/>
    <w:p w14:paraId="783AB8CD" w14:textId="77777777" w:rsidR="00353197" w:rsidRPr="00BB310A" w:rsidRDefault="00353197" w:rsidP="00BB310A">
      <w:pPr>
        <w:pStyle w:val="ListParagraph"/>
        <w:numPr>
          <w:ilvl w:val="0"/>
          <w:numId w:val="2"/>
        </w:numPr>
        <w:rPr>
          <w:i/>
          <w:iCs/>
        </w:rPr>
      </w:pPr>
      <w:r w:rsidRPr="00BB310A">
        <w:rPr>
          <w:i/>
          <w:iCs/>
        </w:rPr>
        <w:t xml:space="preserve">Many of the datasets on Kaggle are in need of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7FD07CD1" w14:textId="77777777" w:rsidR="00353197" w:rsidRDefault="00353197" w:rsidP="00353197"/>
    <w:p w14:paraId="0390B107" w14:textId="369ACA0E"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“Competition data” section.</w:t>
      </w:r>
    </w:p>
    <w:p w14:paraId="569B007F" w14:textId="77777777" w:rsidR="00353197" w:rsidRDefault="00353197" w:rsidP="00353197"/>
    <w:p w14:paraId="136EE4FA" w14:textId="77777777" w:rsidR="00353197" w:rsidRPr="00BB310A" w:rsidRDefault="00353197" w:rsidP="00BB310A">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20530052" w14:textId="77777777" w:rsidR="00353197" w:rsidRDefault="00353197" w:rsidP="00353197"/>
    <w:p w14:paraId="2B4017CA" w14:textId="693457F0" w:rsidR="00353197" w:rsidRDefault="00353197" w:rsidP="00BB310A">
      <w:pPr>
        <w:ind w:firstLine="720"/>
        <w:rPr>
          <w:color w:val="FF0000"/>
        </w:rPr>
      </w:pPr>
      <w:r w:rsidRPr="00586A5A">
        <w:rPr>
          <w:color w:val="FF0000"/>
        </w:rPr>
        <w:t>DI</w:t>
      </w:r>
    </w:p>
    <w:p w14:paraId="181E8102" w14:textId="3698BB78" w:rsidR="00586A5A" w:rsidRPr="00586A5A" w:rsidRDefault="00586A5A" w:rsidP="00BB310A">
      <w:pPr>
        <w:ind w:firstLine="720"/>
        <w:rPr>
          <w:color w:val="FF0000"/>
        </w:rPr>
      </w:pPr>
      <w:r>
        <w:rPr>
          <w:color w:val="FF0000"/>
        </w:rPr>
        <w:t>Julia’s comment: potentially addressed in 2.4 “working with Kaggle”, 2</w:t>
      </w:r>
      <w:r w:rsidRPr="00586A5A">
        <w:rPr>
          <w:color w:val="FF0000"/>
          <w:vertAlign w:val="superscript"/>
        </w:rPr>
        <w:t>nd</w:t>
      </w:r>
      <w:r>
        <w:rPr>
          <w:color w:val="FF0000"/>
        </w:rPr>
        <w:t xml:space="preserve"> para.</w:t>
      </w:r>
    </w:p>
    <w:p w14:paraId="54DD7D98" w14:textId="77777777" w:rsidR="00353197" w:rsidRDefault="00353197" w:rsidP="00353197"/>
    <w:p w14:paraId="5028088F" w14:textId="77777777" w:rsidR="00353197" w:rsidRPr="00BB310A" w:rsidRDefault="00353197" w:rsidP="00BB310A">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2ADD35B6" w14:textId="77777777" w:rsidR="00353197" w:rsidRDefault="00353197" w:rsidP="00353197"/>
    <w:p w14:paraId="31C3A9B5" w14:textId="023DD068"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“Participants” section.</w:t>
      </w:r>
    </w:p>
    <w:p w14:paraId="6B37E1D6" w14:textId="77777777" w:rsidR="00353197" w:rsidRDefault="00353197" w:rsidP="00353197"/>
    <w:p w14:paraId="77050ED6" w14:textId="65837D3B" w:rsidR="00353197" w:rsidRPr="000D0103" w:rsidRDefault="00353197" w:rsidP="00353197">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47E08937" w14:textId="6BEB734D" w:rsidR="00353197" w:rsidRPr="00586A5A" w:rsidRDefault="000D0103" w:rsidP="000D0103">
      <w:pPr>
        <w:ind w:firstLine="720"/>
        <w:rPr>
          <w:color w:val="0070C0"/>
        </w:rPr>
      </w:pPr>
      <w:r w:rsidRPr="00586A5A">
        <w:rPr>
          <w:color w:val="0070C0"/>
        </w:rPr>
        <w:t xml:space="preserve">This has been explained in the revised experimental </w:t>
      </w:r>
      <w:r w:rsidR="00DC7A2C" w:rsidRPr="00586A5A">
        <w:rPr>
          <w:color w:val="0070C0"/>
        </w:rPr>
        <w:t>setup where participants are described</w:t>
      </w:r>
      <w:r w:rsidR="007B79B0" w:rsidRPr="00586A5A">
        <w:rPr>
          <w:color w:val="0070C0"/>
        </w:rPr>
        <w:t xml:space="preserve">. </w:t>
      </w:r>
    </w:p>
    <w:p w14:paraId="7E8AD7A3" w14:textId="437B8879" w:rsidR="00353197" w:rsidRPr="00114282" w:rsidRDefault="00353197" w:rsidP="00353197">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4CD78911" w14:textId="216EC35F" w:rsidR="00353197" w:rsidRPr="00586A5A" w:rsidRDefault="00114282" w:rsidP="00114282">
      <w:pPr>
        <w:ind w:left="720"/>
        <w:rPr>
          <w:color w:val="0070C0"/>
        </w:rPr>
      </w:pPr>
      <w:r w:rsidRPr="00586A5A">
        <w:rPr>
          <w:color w:val="0070C0"/>
        </w:rPr>
        <w:t xml:space="preserve">Both exams have been added in supplementary materials. </w:t>
      </w:r>
    </w:p>
    <w:p w14:paraId="03B2245A" w14:textId="77777777" w:rsidR="00353197" w:rsidRPr="00BB310A" w:rsidRDefault="00353197" w:rsidP="00BB310A">
      <w:pPr>
        <w:pStyle w:val="ListParagraph"/>
        <w:numPr>
          <w:ilvl w:val="0"/>
          <w:numId w:val="2"/>
        </w:numPr>
        <w:rPr>
          <w:i/>
          <w:iCs/>
        </w:rPr>
      </w:pPr>
      <w:r w:rsidRPr="00BB310A">
        <w:rPr>
          <w:i/>
          <w:iCs/>
        </w:rPr>
        <w:lastRenderedPageBreak/>
        <w:t>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e.g.regression</w:t>
      </w:r>
      <w:proofErr w:type="spellEnd"/>
      <w:r w:rsidRPr="00BB310A">
        <w:rPr>
          <w:i/>
          <w:iCs/>
        </w:rPr>
        <w:t>-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signals improvement in learning (rather than improvement in consistency).</w:t>
      </w:r>
    </w:p>
    <w:p w14:paraId="642935A2" w14:textId="77777777" w:rsidR="00353197" w:rsidRDefault="00353197" w:rsidP="00353197"/>
    <w:p w14:paraId="033DB9A0" w14:textId="0FB92F02" w:rsidR="005655EB" w:rsidRPr="00353197" w:rsidRDefault="005655EB" w:rsidP="005655EB">
      <w:pPr>
        <w:ind w:firstLine="720"/>
        <w:rPr>
          <w:color w:val="2F5496" w:themeColor="accent1" w:themeShade="BF"/>
        </w:rPr>
      </w:pPr>
      <w:r>
        <w:rPr>
          <w:color w:val="2F5496" w:themeColor="accent1" w:themeShade="BF"/>
        </w:rPr>
        <w:t>This has been addressed as part of “Performance” section.</w:t>
      </w:r>
    </w:p>
    <w:p w14:paraId="190750A2" w14:textId="77777777" w:rsidR="00353197" w:rsidRDefault="00353197" w:rsidP="00353197"/>
    <w:p w14:paraId="360F7509" w14:textId="5C14CBB7" w:rsidR="00353197" w:rsidRDefault="00353197" w:rsidP="00353197">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24D80732" w14:textId="1EF9A295" w:rsidR="006115BD" w:rsidRPr="00586A5A" w:rsidRDefault="006115BD" w:rsidP="006115BD">
      <w:pPr>
        <w:pStyle w:val="ListParagraph"/>
        <w:rPr>
          <w:i/>
          <w:iCs/>
          <w:color w:val="0070C0"/>
        </w:rPr>
      </w:pPr>
    </w:p>
    <w:p w14:paraId="0A09ADE5" w14:textId="2CC65A2C" w:rsidR="00353197" w:rsidRPr="00586A5A" w:rsidRDefault="009647C9" w:rsidP="009647C9">
      <w:pPr>
        <w:pStyle w:val="ListParagraph"/>
        <w:rPr>
          <w:i/>
          <w:iCs/>
          <w:color w:val="0070C0"/>
        </w:rPr>
      </w:pPr>
      <w:r w:rsidRPr="00586A5A">
        <w:rPr>
          <w:color w:val="0070C0"/>
        </w:rPr>
        <w:t xml:space="preserve">They do match. It doesn’t look like it from the scales on the boxplot, but double checking the calculations, they are correct. These are automatically calculated, and the code is in the </w:t>
      </w:r>
      <w:proofErr w:type="spellStart"/>
      <w:r w:rsidRPr="00586A5A">
        <w:rPr>
          <w:color w:val="0070C0"/>
        </w:rPr>
        <w:t>Rmd</w:t>
      </w:r>
      <w:proofErr w:type="spellEnd"/>
      <w:r w:rsidRPr="00586A5A">
        <w:rPr>
          <w:color w:val="0070C0"/>
        </w:rPr>
        <w:t xml:space="preserve"> document that generates the paper. </w:t>
      </w:r>
      <w:r w:rsidR="00B40D7A" w:rsidRPr="00586A5A">
        <w:rPr>
          <w:color w:val="0070C0"/>
        </w:rPr>
        <w:t>The numbers in the table are manually entered, but they match what the code for the boxplot produces.</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0EB06227" w14:textId="6F58F45E" w:rsidR="0003291E" w:rsidRPr="00353197" w:rsidRDefault="0003291E" w:rsidP="0003291E">
      <w:pPr>
        <w:ind w:firstLine="720"/>
        <w:rPr>
          <w:color w:val="2F5496" w:themeColor="accent1" w:themeShade="BF"/>
        </w:rPr>
      </w:pPr>
      <w:r>
        <w:rPr>
          <w:color w:val="2F5496" w:themeColor="accent1" w:themeShade="BF"/>
        </w:rPr>
        <w:t>This has been explained as part of “competition data” section.</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084F84B6" w:rsidR="00353197" w:rsidRPr="00BB310A" w:rsidRDefault="00EE3891" w:rsidP="00BB310A">
      <w:pPr>
        <w:ind w:firstLine="720"/>
        <w:rPr>
          <w:color w:val="0070C0"/>
        </w:rPr>
      </w:pPr>
      <w:r>
        <w:rPr>
          <w:color w:val="2F5496" w:themeColor="accent1" w:themeShade="BF"/>
        </w:rPr>
        <w:t>This has been explained as part of “Interest” section.</w:t>
      </w:r>
    </w:p>
    <w:p w14:paraId="6F8EE2CF" w14:textId="77777777" w:rsidR="00353197" w:rsidRDefault="00353197" w:rsidP="00353197"/>
    <w:p w14:paraId="57A01210" w14:textId="77777777"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32E1DB30" w14:textId="77777777" w:rsidR="00353197" w:rsidRDefault="00353197" w:rsidP="00353197"/>
    <w:p w14:paraId="1DA27F14" w14:textId="5D4CBB57" w:rsidR="00353197" w:rsidRPr="00BB310A" w:rsidRDefault="00EE3891" w:rsidP="005D0A7A">
      <w:pPr>
        <w:ind w:left="720"/>
        <w:rPr>
          <w:color w:val="0070C0"/>
        </w:rPr>
      </w:pPr>
      <w:r w:rsidRPr="005D0A7A">
        <w:rPr>
          <w:color w:val="0070C0"/>
        </w:rPr>
        <w:t>One student eventually didn’t sit the exams and one student didn’t participated in the competition. This has been explained as part of “Participants” section.</w:t>
      </w:r>
    </w:p>
    <w:p w14:paraId="7DF1F668" w14:textId="77777777" w:rsidR="00353197" w:rsidRDefault="00353197" w:rsidP="00353197"/>
    <w:p w14:paraId="4686F34F" w14:textId="77777777" w:rsidR="00353197" w:rsidRPr="00BB310A" w:rsidRDefault="00353197" w:rsidP="00BB310A">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230FD88" w14:textId="77777777" w:rsidR="00353197" w:rsidRDefault="00353197" w:rsidP="00353197"/>
    <w:p w14:paraId="4CFEE17A" w14:textId="305B1890" w:rsidR="00353197" w:rsidRDefault="00EE3891" w:rsidP="00EE3891">
      <w:pPr>
        <w:ind w:firstLine="720"/>
      </w:pPr>
      <w:r>
        <w:rPr>
          <w:color w:val="2F5496" w:themeColor="accent1" w:themeShade="BF"/>
        </w:rPr>
        <w:t>This has been explained as part of “Introduction” section.</w:t>
      </w:r>
    </w:p>
    <w:p w14:paraId="691CF197" w14:textId="77777777" w:rsidR="00353197" w:rsidRPr="00BB310A" w:rsidRDefault="00353197" w:rsidP="00353197">
      <w:pPr>
        <w:rPr>
          <w:b/>
          <w:bCs/>
        </w:rPr>
      </w:pPr>
      <w:r w:rsidRPr="00BB310A">
        <w:rPr>
          <w:b/>
          <w:bCs/>
        </w:rPr>
        <w:t>Associate Editor</w:t>
      </w:r>
    </w:p>
    <w:p w14:paraId="166D19C1" w14:textId="77777777" w:rsidR="00353197" w:rsidRPr="00BB310A" w:rsidRDefault="00353197" w:rsidP="00BB310A">
      <w:pPr>
        <w:pStyle w:val="ListParagraph"/>
        <w:numPr>
          <w:ilvl w:val="0"/>
          <w:numId w:val="3"/>
        </w:numPr>
        <w:rPr>
          <w:i/>
          <w:iCs/>
        </w:rPr>
      </w:pPr>
      <w:r w:rsidRPr="00BB310A">
        <w:rPr>
          <w:i/>
          <w:iCs/>
        </w:rPr>
        <w:t>There is no literature review. Even a short review of papers that have used projects or competitions would put this paper in context. Also some review (if it is out there) of your performance metric might help the readers to understand why you measured learning gains in this way.</w:t>
      </w:r>
    </w:p>
    <w:p w14:paraId="7281CA2A" w14:textId="77777777" w:rsidR="00353197" w:rsidRDefault="00353197" w:rsidP="00353197"/>
    <w:p w14:paraId="7835B147" w14:textId="333B8154" w:rsidR="00353197" w:rsidRPr="00BB310A" w:rsidRDefault="00EE3891" w:rsidP="005D0A7A">
      <w:pPr>
        <w:ind w:left="720"/>
        <w:rPr>
          <w:color w:val="0070C0"/>
        </w:rPr>
      </w:pPr>
      <w:r>
        <w:rPr>
          <w:color w:val="0070C0"/>
        </w:rPr>
        <w:t xml:space="preserve">Literature review had been add in “Introduction” section. We provided more explanation about the chosen metric for performance measure in section “Performances”.  </w:t>
      </w:r>
    </w:p>
    <w:p w14:paraId="3EDEF318" w14:textId="77777777" w:rsidR="00353197" w:rsidRDefault="00353197" w:rsidP="00353197"/>
    <w:p w14:paraId="0A20B4C4" w14:textId="77777777"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23C37CE6" w14:textId="77777777" w:rsidR="00353197" w:rsidRDefault="00353197" w:rsidP="00353197"/>
    <w:p w14:paraId="187675D0" w14:textId="77777777" w:rsidR="00EE3891" w:rsidRPr="00353197" w:rsidRDefault="00EE3891" w:rsidP="00EE3891">
      <w:pPr>
        <w:ind w:firstLine="720"/>
        <w:rPr>
          <w:color w:val="2F5496" w:themeColor="accent1" w:themeShade="BF"/>
        </w:rPr>
      </w:pPr>
      <w:r>
        <w:rPr>
          <w:color w:val="2F5496" w:themeColor="accent1" w:themeShade="BF"/>
        </w:rPr>
        <w:t xml:space="preserve">This has been explained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6B91866A" w14:textId="4ACC3E15" w:rsidR="00353197" w:rsidRDefault="00353197" w:rsidP="00EE3891">
      <w:pPr>
        <w:ind w:firstLine="720"/>
      </w:pPr>
    </w:p>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06D7BBDC" w:rsidR="00353197" w:rsidRPr="00586A5A" w:rsidRDefault="003465AC" w:rsidP="000D0103">
      <w:pPr>
        <w:ind w:firstLine="720"/>
        <w:rPr>
          <w:color w:val="0070C0"/>
        </w:rPr>
      </w:pPr>
      <w:r w:rsidRPr="00586A5A">
        <w:rPr>
          <w:color w:val="0070C0"/>
        </w:rPr>
        <w:t xml:space="preserve">This has been explained. </w:t>
      </w:r>
    </w:p>
    <w:p w14:paraId="28F9FC80" w14:textId="77777777" w:rsidR="00353197" w:rsidRPr="00BB310A" w:rsidRDefault="00353197" w:rsidP="00BB310A">
      <w:pPr>
        <w:pStyle w:val="ListParagraph"/>
        <w:numPr>
          <w:ilvl w:val="0"/>
          <w:numId w:val="3"/>
        </w:numPr>
        <w:rPr>
          <w:i/>
          <w:iCs/>
        </w:rPr>
      </w:pPr>
      <w:r w:rsidRPr="00BB310A">
        <w:rPr>
          <w:i/>
          <w:iCs/>
        </w:rPr>
        <w:t xml:space="preserve">I would argue for a data display/analysis that shows for each individual student the difference between their performance score on their "treatment" questions versus their "non-treatment" questions, i.e. the classification students that did “better than expected” on </w:t>
      </w:r>
      <w:r w:rsidRPr="00BB310A">
        <w:rPr>
          <w:i/>
          <w:iCs/>
        </w:rPr>
        <w:lastRenderedPageBreak/>
        <w:t>classification questions, how many of those also did “better than expected” on the regression questions and so on.</w:t>
      </w:r>
    </w:p>
    <w:p w14:paraId="19589072" w14:textId="77777777" w:rsidR="00353197" w:rsidRDefault="00353197" w:rsidP="00EC5904">
      <w:pPr>
        <w:jc w:val="both"/>
      </w:pPr>
    </w:p>
    <w:p w14:paraId="75AA2600" w14:textId="2A359CE7" w:rsidR="00353197" w:rsidRPr="00BB310A" w:rsidRDefault="00EC5904" w:rsidP="005D0A7A">
      <w:pPr>
        <w:ind w:left="720"/>
        <w:rPr>
          <w:color w:val="0070C0"/>
        </w:rPr>
      </w:pPr>
      <w:r>
        <w:rPr>
          <w:color w:val="0070C0"/>
        </w:rPr>
        <w:t xml:space="preserve">In the revised version Figure </w:t>
      </w:r>
      <w:r w:rsidR="00586A5A">
        <w:rPr>
          <w:color w:val="0070C0"/>
        </w:rPr>
        <w:t>3</w:t>
      </w:r>
      <w:r>
        <w:rPr>
          <w:color w:val="0070C0"/>
        </w:rPr>
        <w:t xml:space="preserve">: Students performance in classification and regression questions by competition type, has been add discussed as part of </w:t>
      </w:r>
      <w:r w:rsidR="00586A5A">
        <w:rPr>
          <w:color w:val="0070C0"/>
        </w:rPr>
        <w:t>Perfor</w:t>
      </w:r>
      <w:r w:rsidR="00E86E5D">
        <w:rPr>
          <w:color w:val="0070C0"/>
        </w:rPr>
        <w:t>ma</w:t>
      </w:r>
      <w:r w:rsidR="00586A5A">
        <w:rPr>
          <w:color w:val="0070C0"/>
        </w:rPr>
        <w:t>nce</w:t>
      </w:r>
      <w:r>
        <w:rPr>
          <w:color w:val="0070C0"/>
        </w:rPr>
        <w:t xml:space="preserve"> section.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877"/>
    <w:rsid w:val="0003291E"/>
    <w:rsid w:val="000A04EF"/>
    <w:rsid w:val="000C76C5"/>
    <w:rsid w:val="000D0103"/>
    <w:rsid w:val="00114282"/>
    <w:rsid w:val="00122048"/>
    <w:rsid w:val="0022134D"/>
    <w:rsid w:val="00267611"/>
    <w:rsid w:val="002830A3"/>
    <w:rsid w:val="0031509F"/>
    <w:rsid w:val="003465AC"/>
    <w:rsid w:val="00353197"/>
    <w:rsid w:val="00366C1B"/>
    <w:rsid w:val="00370A19"/>
    <w:rsid w:val="003A05D8"/>
    <w:rsid w:val="003E3E93"/>
    <w:rsid w:val="00513BDA"/>
    <w:rsid w:val="005655EB"/>
    <w:rsid w:val="00586A5A"/>
    <w:rsid w:val="005D0A7A"/>
    <w:rsid w:val="005D7497"/>
    <w:rsid w:val="005F5F77"/>
    <w:rsid w:val="006115BD"/>
    <w:rsid w:val="006C28D4"/>
    <w:rsid w:val="00704C8F"/>
    <w:rsid w:val="007168B6"/>
    <w:rsid w:val="00785991"/>
    <w:rsid w:val="007B79B0"/>
    <w:rsid w:val="007C2C20"/>
    <w:rsid w:val="008D1A89"/>
    <w:rsid w:val="0090205A"/>
    <w:rsid w:val="00940983"/>
    <w:rsid w:val="009647C9"/>
    <w:rsid w:val="0097581C"/>
    <w:rsid w:val="009E28D6"/>
    <w:rsid w:val="00A16BE2"/>
    <w:rsid w:val="00B40D7A"/>
    <w:rsid w:val="00BB310A"/>
    <w:rsid w:val="00C43C3C"/>
    <w:rsid w:val="00CC7D23"/>
    <w:rsid w:val="00D46EF5"/>
    <w:rsid w:val="00D92BCD"/>
    <w:rsid w:val="00DC7A2C"/>
    <w:rsid w:val="00E24A84"/>
    <w:rsid w:val="00E6159D"/>
    <w:rsid w:val="00E64317"/>
    <w:rsid w:val="00E86E5D"/>
    <w:rsid w:val="00EC5904"/>
    <w:rsid w:val="00EE3891"/>
    <w:rsid w:val="00F35E72"/>
    <w:rsid w:val="00FA732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40</cp:revision>
  <dcterms:created xsi:type="dcterms:W3CDTF">2019-02-18T00:20:00Z</dcterms:created>
  <dcterms:modified xsi:type="dcterms:W3CDTF">2019-09-23T03:46:00Z</dcterms:modified>
</cp:coreProperties>
</file>