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E3A8A"/>
          <w:sz w:val="40"/>
        </w:rPr>
        <w:t>INFORME TÉCNICO Y ENSAYO ACADÉMICO DEL SISTEMA INTELIGENTE DE MONITOREO AMBIENTAL (SIMA v2)</w:t>
      </w:r>
    </w:p>
    <w:p>
      <w:pPr>
        <w:spacing w:after="400"/>
        <w:jc w:val="center"/>
      </w:pPr>
      <w:r>
        <w:rPr>
          <w:rFonts w:ascii="Calibri" w:hAnsi="Calibri"/>
          <w:i/>
          <w:color w:val="4B5563"/>
          <w:sz w:val="26"/>
        </w:rPr>
        <w:t>Desarrollo e Integración Multivariada de Temperatura, Humedad Relativa y Luminosidad mediante Instrumentación Electrónica y Telemetría en Tiempo Real</w:t>
      </w:r>
    </w:p>
    <w:p>
      <w:pPr>
        <w:spacing w:after="200"/>
      </w:pPr>
    </w:p>
    <w:p>
      <w:pPr>
        <w:keepNext/>
        <w:spacing w:before="320" w:after="120"/>
      </w:pPr>
      <w:r>
        <w:rPr>
          <w:rFonts w:ascii="Calibri" w:hAnsi="Calibri"/>
          <w:b/>
          <w:color w:val="1E3A8A"/>
          <w:sz w:val="28"/>
        </w:rPr>
        <w:t>1. PORTADA</w:t>
      </w:r>
    </w:p>
    <w:p>
      <w:pPr>
        <w:spacing w:before="120" w:after="120"/>
        <w:ind w:left="576" w:right="576"/>
        <w:pBdr>
          <w:left w:val="single" w:sz="24" w:space="12" w:color="1E3A8A"/>
        </w:pBdr>
      </w:pPr>
      <w:r>
        <w:rPr>
          <w:b/>
          <w:color w:val="1E3A8A"/>
        </w:rPr>
        <w:t xml:space="preserve">[PROYECTO SIMA v2] </w:t>
      </w:r>
      <w:r>
        <w:rPr>
          <w:sz w:val="21"/>
        </w:rPr>
        <w:t>SISTEMA INTELIGENTE DE MONITOREO AMBIENTAL (SIMA v2)</w:t>
        <w:br/>
        <w:t>Desarrollo e Integración Multivariada de Temperatura, Humedad Relativa y Luminosidad mediante Instrumentación Electrónica y Telemetría en Tiempo Real</w:t>
      </w:r>
    </w:p>
    <w:p>
      <w:pPr>
        <w:keepNext/>
        <w:spacing w:before="320" w:after="120"/>
      </w:pPr>
      <w:r>
        <w:rPr>
          <w:rFonts w:ascii="Calibri" w:hAnsi="Calibri"/>
          <w:b/>
          <w:color w:val="1E3A8A"/>
          <w:sz w:val="28"/>
        </w:rPr>
        <w:t>2. TÍTULO DEL PROYECTO</w:t>
      </w:r>
    </w:p>
    <w:p>
      <w:r>
        <w:t>Diseño, Implementación y Evaluación Experimental de un Sistema de Monitoreo Ambiental IoT (SIMA v2) con Adquisición Multivariable (Temperatura, Humedad Relativa y Luminosidad Lux), Comunicación Serial Asíncrona y Procesamiento Estadístico Avanzado.</w:t>
      </w:r>
    </w:p>
    <w:p>
      <w:pPr>
        <w:keepNext/>
        <w:spacing w:before="320" w:after="120"/>
      </w:pPr>
      <w:r>
        <w:rPr>
          <w:rFonts w:ascii="Calibri" w:hAnsi="Calibri"/>
          <w:b/>
          <w:color w:val="1E3A8A"/>
          <w:sz w:val="28"/>
        </w:rPr>
        <w:t>3. AUTORES E INFORMACIÓN DE LA INSTITUCIÓN</w:t>
      </w:r>
    </w:p>
    <w:p>
      <w:r>
        <w:rPr>
          <w:b/>
        </w:rPr>
        <w:t xml:space="preserve">• Autores: </w:t>
      </w:r>
      <w:r>
        <w:t>Equipo de Investigación SIMA (Ingeniería en Electrónica y Mecatrónica)</w:t>
        <w:br/>
      </w:r>
      <w:r>
        <w:rPr>
          <w:b/>
        </w:rPr>
        <w:t xml:space="preserve">• Institución: </w:t>
      </w:r>
      <w:r>
        <w:t>Universidad de Investigación y Desarrollo Tecnológico (UIDT) / Facultad de Ingeniería y Ciencias Aplicadas</w:t>
        <w:br/>
      </w:r>
      <w:r>
        <w:rPr>
          <w:b/>
        </w:rPr>
        <w:t xml:space="preserve">• Departamento: </w:t>
      </w:r>
      <w:r>
        <w:t>Laboratorio de Instrumentación Electrónica, Sistemas Embebidos y Procesamiento de Señales</w:t>
        <w:br/>
      </w:r>
      <w:r>
        <w:rPr>
          <w:b/>
        </w:rPr>
        <w:t xml:space="preserve">• Contacto: </w:t>
      </w:r>
      <w:r>
        <w:t>sima.proyecto@ingenieria.edu</w:t>
        <w:br/>
      </w:r>
      <w:r>
        <w:rPr>
          <w:b/>
        </w:rPr>
        <w:t xml:space="preserve">• Lugar y Fecha: </w:t>
      </w:r>
      <w:r>
        <w:t>Colombia, 2026</w:t>
      </w:r>
    </w:p>
    <w:p>
      <w:pPr>
        <w:keepNext/>
        <w:spacing w:before="320" w:after="120"/>
      </w:pPr>
      <w:r>
        <w:rPr>
          <w:rFonts w:ascii="Calibri" w:hAnsi="Calibri"/>
          <w:b/>
          <w:color w:val="1E3A8A"/>
          <w:sz w:val="28"/>
        </w:rPr>
        <w:t>4. RESUMEN</w:t>
      </w:r>
    </w:p>
    <w:p>
      <w:r>
        <w:t>El presente trabajo describe el desarrollo, integración y validación experimental del Sistema Inteligente de Monitoreo Ambiental (SIMA v2), una plataforma híbrida de adquisición de datos en tiempo real diseñada para el análisis higrotérmico y lumínico en espacios interiores. El sistema se compone de un nodo de instrumentación basado en el microcontrolador ATmega328P (Arduino Uno), equipado con un sensor digital DHT11 (temperatura y humedad relativa) y un sensor fotoconductivo LDR con red de acondicionamiento resistivo para la estimación cuantitativa de la iluminancia en Lux. Los datos son transmitidos a través de un protocolo serie personalizado en formato CSV hacia un firmware centralizado y una aplicación cliente desarrollada en Python 3 con el framework Qt (PySide6) y la librería pyqtgraph. La arquitectura de software implementa el patrón Modelo-Vista-VistaModelo (MVVM) con procesamiento concurrente multitarea, permitiendo la clasificación cualitativa multivariable mediante funciones de pertenencia gaussianas para el cálculo de un Índice de Confort Ambiental Compuesto (0–100%). Adicionalmente, el sistema realiza agregación estadística descriptiva en tiempo real y exporta automáticamente informes técnicos en formatos Microsoft Excel (openpyxl) y documentos impresos PDF (ReportLab). Los ensayos experimentales evidencian un tiempo de respuesta de muestreo de 2.0 s, latencia de procesamiento inferior a 15 ms en la interfaz gráfica y una alta precisión en la detección de umbrales ambientales.</w:t>
      </w:r>
    </w:p>
    <w:p>
      <w:pPr>
        <w:keepNext/>
        <w:spacing w:before="320" w:after="120"/>
      </w:pPr>
      <w:r>
        <w:rPr>
          <w:rFonts w:ascii="Calibri" w:hAnsi="Calibri"/>
          <w:b/>
          <w:color w:val="1E3A8A"/>
          <w:sz w:val="28"/>
        </w:rPr>
        <w:t>5. PALABRAS CLAVE</w:t>
      </w:r>
    </w:p>
    <w:p>
      <w:r>
        <w:rPr>
          <w:b/>
        </w:rPr>
        <w:t xml:space="preserve">• Palabras clave (Español): </w:t>
      </w:r>
      <w:r>
        <w:t>Monitoreo Ambiental, Arduino, DHT11, Sensor LDR (Lux), PySide6, Confort Higrotérmico, Telemetría Serial, Índice de Confort, Formato IEEE.</w:t>
        <w:br/>
      </w:r>
      <w:r>
        <w:rPr>
          <w:b/>
        </w:rPr>
        <w:t xml:space="preserve">• Keywords (English): </w:t>
      </w:r>
      <w:r>
        <w:t>Environmental Monitoring, Arduino, DHT11, LDR Light Sensor (Lux), PySide6, Hygrothermal Comfort, Serial Telemetry, Comfort Index, IEEE Format.</w:t>
      </w:r>
    </w:p>
    <w:p>
      <w:pPr>
        <w:keepNext/>
        <w:spacing w:before="320" w:after="120"/>
      </w:pPr>
      <w:r>
        <w:rPr>
          <w:rFonts w:ascii="Calibri" w:hAnsi="Calibri"/>
          <w:b/>
          <w:color w:val="1E3A8A"/>
          <w:sz w:val="28"/>
        </w:rPr>
        <w:t>6. INTRODUCCIÓN</w:t>
      </w:r>
    </w:p>
    <w:p>
      <w:r>
        <w:t>La calidad del ambiente interior (IAQ, por sus siglas en inglés Indoor Air Quality) e iluminancia operativa son factores determinantes en la salud ergonómica, la eficiencia cognitiva y el bienestar biológico de las personas en espacios residenciales, industriales y educativos. Variaciones desfavorables en la temperatura ambiente, desviaciones drásticas en la humedad relativa o niveles de iluminación inadecuados (penumbra o deslumbramiento) incrementan el estrés visual, causan fatiga y disminuyen el rendimiento laboral, propiciando además fallas en equipos electrónicos delicados.</w:t>
      </w:r>
    </w:p>
    <w:p>
      <w:r>
        <w:t>Tradicionalmente, la evaluación de parámetros ambientales se ha realizado de forma discontinua mediante instrumentos manuales aislados (termómetros, higrómetros y luxómetros de mano). Sin embargo, el advenimiento de la Internet de las Cosas (IoT) y la instrumentación virtual permite integrar redes de sensores de bajo costo con capacidad de procesamiento concurrente en tiempo real.</w:t>
      </w:r>
    </w:p>
    <w:p>
      <w:r>
        <w:t>El proyecto SIMA (Sistema Inteligente de Monitoreo Ambiental) surge como una solución tecnológica modular y escalable para abordar este desafío. En su versión 2 (SIMA v2), se expandió la plataforma original de dos variables (temperatura y humedad) mediante la incorporación de un canal analógico de transducción fotónica basado en fotorresistencia LDR. Este documento expone de manera rigurosa la ingeniería detrás de SIMA v2, detallando su fundamentación matemática, arquitectura hardware/software, procesamiento estadístico y resultados experimentales.</w:t>
      </w:r>
    </w:p>
    <w:p>
      <w:pPr>
        <w:keepNext/>
        <w:spacing w:before="320" w:after="120"/>
      </w:pPr>
      <w:r>
        <w:rPr>
          <w:rFonts w:ascii="Calibri" w:hAnsi="Calibri"/>
          <w:b/>
          <w:color w:val="1E3A8A"/>
          <w:sz w:val="28"/>
        </w:rPr>
        <w:t>7. PLANTEAMIENTO DEL PROBLEMA</w:t>
      </w:r>
    </w:p>
    <w:p>
      <w:r>
        <w:t>En diversos recintos cerrados —como laboratorios de precisión, aulas informáticas y salas de servidores— la falta de monitoreo continuo de variables ambientales genera los siguientes problemas:</w:t>
      </w:r>
    </w:p>
    <w:p>
      <w:r>
        <w:rPr>
          <w:b/>
        </w:rPr>
        <w:t xml:space="preserve">1. Inestabilidad Térmica e Higrométrica: </w:t>
      </w:r>
      <w:r>
        <w:t>La ausencia de registro temporal continuo dificulta la detección temprana de sobrecalentamiento en bastidores de cómputo o condensación de humedad que degrada circuitos integrados.</w:t>
        <w:br/>
      </w:r>
      <w:r>
        <w:rPr>
          <w:b/>
        </w:rPr>
        <w:t xml:space="preserve">2. Deficiencia de Ergonometría Lumínica: </w:t>
      </w:r>
      <w:r>
        <w:t>La iluminación deficiente o excesiva en puestos de trabajo no es percibida cuantitativamente sin luxómetros dedicados, afectando la higiene visual de los usuarios según normas internacionales (OSHA / ISO 8995-1).</w:t>
        <w:br/>
      </w:r>
      <w:r>
        <w:rPr>
          <w:b/>
        </w:rPr>
        <w:t xml:space="preserve">3. Desconexión entre Hardware y Software: </w:t>
      </w:r>
      <w:r>
        <w:t>Muchas soluciones educativas de código abierto carecen de una interfaz gráfica (GUI) robusta en tiempo real, limitándose a desplegar texto crudo en consolas seriales sin capacidad de clasificación ni generación automática de reportes ejecutivos.</w:t>
      </w:r>
    </w:p>
    <w:p>
      <w:pPr>
        <w:spacing w:before="120" w:after="120"/>
        <w:ind w:left="576" w:right="576"/>
        <w:pBdr>
          <w:left w:val="single" w:sz="24" w:space="12" w:color="1E3A8A"/>
        </w:pBdr>
      </w:pPr>
      <w:r>
        <w:rPr>
          <w:b/>
          <w:color w:val="1E3A8A"/>
        </w:rPr>
        <w:t xml:space="preserve">Pregunta de Investigación: </w:t>
      </w:r>
      <w:r>
        <w:rPr>
          <w:sz w:val="21"/>
        </w:rPr>
        <w:t>¿Cómo diseñar e integrar un sistema de monitoreo ambiental multivariable (temperatura, humedad y luminosidad) que combine hardware embebido de bajo costo con una interfaz de software multitarea de alta resolución para la evaluación del confort en tiempo real y la generación automatizada de informes técnicos?</w:t>
      </w:r>
    </w:p>
    <w:p>
      <w:pPr>
        <w:keepNext/>
        <w:spacing w:before="320" w:after="120"/>
      </w:pPr>
      <w:r>
        <w:rPr>
          <w:rFonts w:ascii="Calibri" w:hAnsi="Calibri"/>
          <w:b/>
          <w:color w:val="1E3A8A"/>
          <w:sz w:val="28"/>
        </w:rPr>
        <w:t>8. JUSTIFICACIÓN</w:t>
      </w:r>
    </w:p>
    <w:p>
      <w:r>
        <w:t>La implementación del sistema SIMA v2 se justifica bajo tres pilares fundamentales:</w:t>
      </w:r>
    </w:p>
    <w:p>
      <w:r>
        <w:rPr>
          <w:b/>
        </w:rPr>
        <w:t xml:space="preserve">• Pilar Técnico-Ingenieril: </w:t>
      </w:r>
      <w:r>
        <w:t>Demuestra la integración práctica entre sistemas embebidos en C/C++ (Arduino) y aplicaciones de escritorio de alto nivel en Python (PySide6). Proporciona un protocolo de comunicación serie robusto con formato extendible (#SIMA:v2:TEMP,HUM,LIGHT) resistente a la pérdida de tramas.</w:t>
        <w:br/>
      </w:r>
      <w:r>
        <w:rPr>
          <w:b/>
        </w:rPr>
        <w:t xml:space="preserve">• Pilar Económico y Accesible: </w:t>
      </w:r>
      <w:r>
        <w:t>Al emplear componentes electrónicos comerciales de bajo costo (Arduino Uno, DHT11 y LDR Cadmio-Sulfuro), reduce drásticamente las barreras presupuestales respecto a las estaciones meteorológicas SCADA comerciales, manteniendo una exactitud adecuada para interiores.</w:t>
        <w:br/>
      </w:r>
      <w:r>
        <w:rPr>
          <w:b/>
        </w:rPr>
        <w:t xml:space="preserve">• Pilar Ergonómico y Operativo: </w:t>
      </w:r>
      <w:r>
        <w:t>Introduce un algoritmo de ponderación gaussiana para calcular el Índice de Confort Ambiental Compuesto, entregando al usuario un indicador intuitivo de 0 a 100% que simplifica la toma de decisiones sobre climatización e iluminación.</w:t>
      </w:r>
    </w:p>
    <w:p>
      <w:pPr>
        <w:keepNext/>
        <w:spacing w:before="320" w:after="120"/>
      </w:pPr>
      <w:r>
        <w:rPr>
          <w:rFonts w:ascii="Calibri" w:hAnsi="Calibri"/>
          <w:b/>
          <w:color w:val="1E3A8A"/>
          <w:sz w:val="28"/>
        </w:rPr>
        <w:t>9. OBJETIVO GENERAL</w:t>
      </w:r>
    </w:p>
    <w:p>
      <w:r>
        <w:t>Diseñar, implementar y evaluar experimentalmente el Sistema Inteligente de Monitoreo Ambiental (SIMA v2) mediante la integración de un nodo sensor embebido (DHT11 y LDR), un protocolo de telemetría serial asíncrono y una aplicación cliente de escritorio en PySide6 para la adquisición, clasificación, visualización en tiempo real y generación de reportes técnicos automatizados.</w:t>
      </w:r>
    </w:p>
    <w:p>
      <w:pPr>
        <w:keepNext/>
        <w:spacing w:before="320" w:after="120"/>
      </w:pPr>
      <w:r>
        <w:rPr>
          <w:rFonts w:ascii="Calibri" w:hAnsi="Calibri"/>
          <w:b/>
          <w:color w:val="1E3A8A"/>
          <w:sz w:val="28"/>
        </w:rPr>
        <w:t>10. OBJETIVOS ESPECÍFICOS</w:t>
      </w:r>
    </w:p>
    <w:p>
      <w:r>
        <w:rPr>
          <w:b/>
        </w:rPr>
        <w:t xml:space="preserve">1. Desarrollar el Firmware Empleado en Arduino: </w:t>
      </w:r>
      <w:r>
        <w:t>Programar en C++ la adquisición de señales digitales (DHT11) y analógicas (LDR), aplicando técnicas de promediado y filtrado de descarte, e implementar la estructura del protocolo serie SIMA v2 a 9600 baudios.</w:t>
      </w:r>
    </w:p>
    <w:p>
      <w:r>
        <w:rPr>
          <w:b/>
        </w:rPr>
        <w:t xml:space="preserve">2. Expandir la Capa de Datos en Python: </w:t>
      </w:r>
      <w:r>
        <w:t>Modificar los módulos config.py, sensor_manager.py, classification.py y serial_reader.py para admitir la variable de iluminancia (Lux) y calcular el puntaje de confort compuesto de tres factores.</w:t>
      </w:r>
    </w:p>
    <w:p>
      <w:r>
        <w:rPr>
          <w:b/>
        </w:rPr>
        <w:t xml:space="preserve">3. Construir la Interfaz Gráfica (UI/UX): </w:t>
      </w:r>
      <w:r>
        <w:t>Diseñar widgets personalizados en PySide6 (CardWidget, GaugeWidget, RealTimeChartWidget con pyqtgraph y MeasurementTableWidget) para desplegar en tiempo real las tres magnitudes fisiológicas.</w:t>
      </w:r>
    </w:p>
    <w:p>
      <w:r>
        <w:rPr>
          <w:b/>
        </w:rPr>
        <w:t xml:space="preserve">4. Automatizar la Exportación de Reportes: </w:t>
      </w:r>
      <w:r>
        <w:t>Adaptar los motores excel_manager.py (OpenPyXL) y pdf_manager.py (ReportLab) para registrar métricas estadísticas de luminosidad y generar gráficos históricos PNG automatizados con matplotlib.</w:t>
      </w:r>
    </w:p>
    <w:p>
      <w:r>
        <w:rPr>
          <w:b/>
        </w:rPr>
        <w:t xml:space="preserve">5. Realizar Pruebas Estadísticas y de Desempeño: </w:t>
      </w:r>
      <w:r>
        <w:t>Evaluar experimentalmente la estabilidad de las lecturas, el tiempo de respuesta del sistema y las desviaciones de confort bajo diferentes condiciones de prueba en laboratorio.</w:t>
      </w:r>
    </w:p>
    <w:p>
      <w:pPr>
        <w:keepNext/>
        <w:spacing w:before="320" w:after="120"/>
      </w:pPr>
      <w:r>
        <w:rPr>
          <w:rFonts w:ascii="Calibri" w:hAnsi="Calibri"/>
          <w:b/>
          <w:color w:val="1E3A8A"/>
          <w:sz w:val="28"/>
        </w:rPr>
        <w:t>11. MARCO TEÓRICO</w:t>
      </w:r>
    </w:p>
    <w:p>
      <w:pPr>
        <w:keepNext/>
        <w:spacing w:before="240" w:after="80"/>
      </w:pPr>
      <w:r>
        <w:rPr>
          <w:rFonts w:ascii="Calibri" w:hAnsi="Calibri"/>
          <w:b/>
          <w:color w:val="2563EB"/>
          <w:sz w:val="24"/>
        </w:rPr>
        <w:t>A. Sensores Ambientales e Instrumentación</w:t>
      </w:r>
    </w:p>
    <w:p>
      <w:r>
        <w:rPr>
          <w:b/>
        </w:rPr>
        <w:t>1. Sensor Digital de Temperatura y Humedad DHT11:</w:t>
        <w:br/>
      </w:r>
      <w:r>
        <w:t>Utiliza un termistor NTC para medir temperatura y un sensor capacitivo para la humedad relativa. Integra un microcontrolador de 8 bits que realiza la conversión analógico-digital y transmite tramas digitales de 40 bits mediante un bus de un solo hilo (Single-Wire).</w:t>
        <w:br/>
      </w:r>
      <w:r>
        <w:t xml:space="preserve">   • Rango Temperatura: 0 °C a 50 °C (precisión ±2.0 °C).</w:t>
        <w:br/>
      </w:r>
      <w:r>
        <w:t xml:space="preserve">   • Rango Humedad: 20% a 90% RH (precisión ±5.0%).</w:t>
      </w:r>
    </w:p>
    <w:p>
      <w:r>
        <w:rPr>
          <w:b/>
        </w:rPr>
        <w:t>2. Fotorresistencia LDR (Light Dependent Resistor) y Divisor de Tensión:</w:t>
        <w:br/>
      </w:r>
      <w:r>
        <w:t>Un fotorresistor de Sulfuro de Cadmio (CdS) presenta una resistencia eléctrica R_LDR inversamente proporcional a la iluminancia incidente E (en Lux):</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color="CBD5E1"/>
              <w:left w:val="single" w:sz="24" w:color="1E3A8A"/>
              <w:bottom w:val="single" w:sz="6" w:color="CBD5E1"/>
              <w:right w:val="single" w:sz="6" w:color="CBD5E1"/>
            </w:tcBorders>
          </w:tcPr>
          <w:p>
            <w:pPr>
              <w:spacing w:after="80"/>
              <w:jc w:val="left"/>
            </w:pPr>
            <w:r>
              <w:rPr>
                <w:b/>
                <w:color w:val="1E3A8A"/>
                <w:sz w:val="21"/>
              </w:rPr>
              <w:t>Ecuación — Relación Fotoconductiva de la Fotorresistencia LDR</w:t>
            </w:r>
          </w:p>
          <w:p>
            <w:pPr>
              <w:spacing w:before="80" w:after="80"/>
              <w:jc w:val="center"/>
            </w:pPr>
            <w:r>
              <w:drawing>
                <wp:inline xmlns:a="http://schemas.openxmlformats.org/drawingml/2006/main" xmlns:pic="http://schemas.openxmlformats.org/drawingml/2006/picture">
                  <wp:extent cx="4114800" cy="822960"/>
                  <wp:docPr id="1" name="Picture 1"/>
                  <wp:cNvGraphicFramePr>
                    <a:graphicFrameLocks noChangeAspect="1"/>
                  </wp:cNvGraphicFramePr>
                  <a:graphic>
                    <a:graphicData uri="http://schemas.openxmlformats.org/drawingml/2006/picture">
                      <pic:pic>
                        <pic:nvPicPr>
                          <pic:cNvPr id="0" name="eq_ldr.png"/>
                          <pic:cNvPicPr/>
                        </pic:nvPicPr>
                        <pic:blipFill>
                          <a:blip r:embed="rId9"/>
                          <a:stretch>
                            <a:fillRect/>
                          </a:stretch>
                        </pic:blipFill>
                        <pic:spPr>
                          <a:xfrm>
                            <a:off x="0" y="0"/>
                            <a:ext cx="4114800" cy="822960"/>
                          </a:xfrm>
                          <a:prstGeom prst="rect"/>
                        </pic:spPr>
                      </pic:pic>
                    </a:graphicData>
                  </a:graphic>
                </wp:inline>
              </w:drawing>
            </w:r>
          </w:p>
          <w:p>
            <w:pPr>
              <w:spacing w:before="80" w:after="40"/>
            </w:pPr>
            <w:r>
              <w:rPr>
                <w:color w:val="4B5563"/>
                <w:sz w:val="19"/>
              </w:rPr>
              <w:t>Donde R_0 es la resistencia de referencia a E_0 = 10 Lux, E es la iluminancia incidente y γ es la pendiente fotoconductiva (γ ≈ 0.7 – 0.9).</w:t>
            </w:r>
          </w:p>
        </w:tc>
      </w:tr>
    </w:tbl>
    <w:p>
      <w:pPr>
        <w:spacing w:after="80"/>
      </w:pPr>
    </w:p>
    <w:p>
      <w:r>
        <w:t>Al conectar el LDR en un divisor de tensión con una resistencia fija R_R = 10 kΩ conectada a tierra y alimentada a V_CC = 5.0 V, la tensión de salida V_out en el pin analógico A0 del Arduino 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color="CBD5E1"/>
              <w:left w:val="single" w:sz="24" w:color="1E3A8A"/>
              <w:bottom w:val="single" w:sz="6" w:color="CBD5E1"/>
              <w:right w:val="single" w:sz="6" w:color="CBD5E1"/>
            </w:tcBorders>
          </w:tcPr>
          <w:p>
            <w:pPr>
              <w:spacing w:after="80"/>
              <w:jc w:val="left"/>
            </w:pPr>
            <w:r>
              <w:rPr>
                <w:b/>
                <w:color w:val="1E3A8A"/>
                <w:sz w:val="21"/>
              </w:rPr>
              <w:t>Ecuación — Tensión de Salida del Divisor de Voltaje Resistivo</w:t>
            </w:r>
          </w:p>
          <w:p>
            <w:pPr>
              <w:spacing w:before="80" w:after="80"/>
              <w:jc w:val="center"/>
            </w:pPr>
            <w:r>
              <w:drawing>
                <wp:inline xmlns:a="http://schemas.openxmlformats.org/drawingml/2006/main" xmlns:pic="http://schemas.openxmlformats.org/drawingml/2006/picture">
                  <wp:extent cx="4114800" cy="822960"/>
                  <wp:docPr id="2" name="Picture 2"/>
                  <wp:cNvGraphicFramePr>
                    <a:graphicFrameLocks noChangeAspect="1"/>
                  </wp:cNvGraphicFramePr>
                  <a:graphic>
                    <a:graphicData uri="http://schemas.openxmlformats.org/drawingml/2006/picture">
                      <pic:pic>
                        <pic:nvPicPr>
                          <pic:cNvPr id="0" name="eq_vout.png"/>
                          <pic:cNvPicPr/>
                        </pic:nvPicPr>
                        <pic:blipFill>
                          <a:blip r:embed="rId10"/>
                          <a:stretch>
                            <a:fillRect/>
                          </a:stretch>
                        </pic:blipFill>
                        <pic:spPr>
                          <a:xfrm>
                            <a:off x="0" y="0"/>
                            <a:ext cx="4114800" cy="822960"/>
                          </a:xfrm>
                          <a:prstGeom prst="rect"/>
                        </pic:spPr>
                      </pic:pic>
                    </a:graphicData>
                  </a:graphic>
                </wp:inline>
              </w:drawing>
            </w:r>
          </w:p>
          <w:p>
            <w:pPr>
              <w:spacing w:before="80" w:after="40"/>
            </w:pPr>
            <w:r>
              <w:rPr>
                <w:color w:val="4B5563"/>
                <w:sz w:val="19"/>
              </w:rPr>
              <w:t>Donde V_CC = 5.0V es la tensión de alimentación y R_R = 10 kΩ es la resistencia fija de precisión.</w:t>
            </w:r>
          </w:p>
        </w:tc>
      </w:tr>
    </w:tbl>
    <w:p>
      <w:pPr>
        <w:spacing w:after="80"/>
      </w:pPr>
    </w:p>
    <w:p>
      <w:r>
        <w:t>El convertidor analógico-digital (ADC) de 10 bits del ATmega328P cuantifica esta tensión en un rango entero de 0 a 1023. La conversión cuantitativa a Lux se realiza mediante el mapeo:</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color="CBD5E1"/>
              <w:left w:val="single" w:sz="24" w:color="1E3A8A"/>
              <w:bottom w:val="single" w:sz="6" w:color="CBD5E1"/>
              <w:right w:val="single" w:sz="6" w:color="CBD5E1"/>
            </w:tcBorders>
          </w:tcPr>
          <w:p>
            <w:pPr>
              <w:spacing w:after="80"/>
              <w:jc w:val="left"/>
            </w:pPr>
            <w:r>
              <w:rPr>
                <w:b/>
                <w:color w:val="1E3A8A"/>
                <w:sz w:val="21"/>
              </w:rPr>
              <w:t>Ecuación — Conversión Cuantitativa de ADC a Iluminancia Lux</w:t>
            </w:r>
          </w:p>
          <w:p>
            <w:pPr>
              <w:spacing w:before="80" w:after="80"/>
              <w:jc w:val="center"/>
            </w:pPr>
            <w:r>
              <w:drawing>
                <wp:inline xmlns:a="http://schemas.openxmlformats.org/drawingml/2006/main" xmlns:pic="http://schemas.openxmlformats.org/drawingml/2006/picture">
                  <wp:extent cx="4114800" cy="822960"/>
                  <wp:docPr id="3" name="Picture 3"/>
                  <wp:cNvGraphicFramePr>
                    <a:graphicFrameLocks noChangeAspect="1"/>
                  </wp:cNvGraphicFramePr>
                  <a:graphic>
                    <a:graphicData uri="http://schemas.openxmlformats.org/drawingml/2006/picture">
                      <pic:pic>
                        <pic:nvPicPr>
                          <pic:cNvPr id="0" name="eq_lux.png"/>
                          <pic:cNvPicPr/>
                        </pic:nvPicPr>
                        <pic:blipFill>
                          <a:blip r:embed="rId11"/>
                          <a:stretch>
                            <a:fillRect/>
                          </a:stretch>
                        </pic:blipFill>
                        <pic:spPr>
                          <a:xfrm>
                            <a:off x="0" y="0"/>
                            <a:ext cx="4114800" cy="822960"/>
                          </a:xfrm>
                          <a:prstGeom prst="rect"/>
                        </pic:spPr>
                      </pic:pic>
                    </a:graphicData>
                  </a:graphic>
                </wp:inline>
              </w:drawing>
            </w:r>
          </w:p>
          <w:p>
            <w:pPr>
              <w:spacing w:before="80" w:after="40"/>
            </w:pPr>
            <w:r>
              <w:rPr>
                <w:color w:val="4B5563"/>
                <w:sz w:val="19"/>
              </w:rPr>
              <w:t>Convierte la lectura digital ADC (0-1023) a un rango útil de 0 a 1000 Lux para ambientes de oficina.</w:t>
            </w:r>
          </w:p>
        </w:tc>
      </w:tr>
    </w:tbl>
    <w:p>
      <w:pPr>
        <w:spacing w:after="80"/>
      </w:pPr>
    </w:p>
    <w:p>
      <w:pPr>
        <w:keepNext/>
        <w:spacing w:before="240" w:after="80"/>
      </w:pPr>
      <w:r>
        <w:rPr>
          <w:rFonts w:ascii="Calibri" w:hAnsi="Calibri"/>
          <w:b/>
          <w:color w:val="2563EB"/>
          <w:sz w:val="24"/>
        </w:rPr>
        <w:t>B. Algoritmo de Pertenencia Gaussiana para el Índice de Confort</w:t>
      </w:r>
    </w:p>
    <w:p>
      <w:r>
        <w:t>Para evaluar el confort del entorno sin discontinuidades bruscas, SIMA v2 aplica una función gaussiana de desviación respecto a los valores ideales fijados por normativas ergonómicas (T_ideal = 22.0 °C, H_ideal = 45.0%, L_ideal = 400.0 Lux):</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color="CBD5E1"/>
              <w:left w:val="single" w:sz="24" w:color="1E3A8A"/>
              <w:bottom w:val="single" w:sz="6" w:color="CBD5E1"/>
              <w:right w:val="single" w:sz="6" w:color="CBD5E1"/>
            </w:tcBorders>
          </w:tcPr>
          <w:p>
            <w:pPr>
              <w:spacing w:after="80"/>
              <w:jc w:val="left"/>
            </w:pPr>
            <w:r>
              <w:rPr>
                <w:b/>
                <w:color w:val="1E3A8A"/>
                <w:sz w:val="21"/>
              </w:rPr>
              <w:t>Ecuación — Sub-Índice de Confort Gaussiano por Variable</w:t>
            </w:r>
          </w:p>
          <w:p>
            <w:pPr>
              <w:spacing w:before="80" w:after="80"/>
              <w:jc w:val="center"/>
            </w:pPr>
            <w:r>
              <w:drawing>
                <wp:inline xmlns:a="http://schemas.openxmlformats.org/drawingml/2006/main" xmlns:pic="http://schemas.openxmlformats.org/drawingml/2006/picture">
                  <wp:extent cx="4114800" cy="822960"/>
                  <wp:docPr id="4" name="Picture 4"/>
                  <wp:cNvGraphicFramePr>
                    <a:graphicFrameLocks noChangeAspect="1"/>
                  </wp:cNvGraphicFramePr>
                  <a:graphic>
                    <a:graphicData uri="http://schemas.openxmlformats.org/drawingml/2006/picture">
                      <pic:pic>
                        <pic:nvPicPr>
                          <pic:cNvPr id="0" name="eq_si.png"/>
                          <pic:cNvPicPr/>
                        </pic:nvPicPr>
                        <pic:blipFill>
                          <a:blip r:embed="rId12"/>
                          <a:stretch>
                            <a:fillRect/>
                          </a:stretch>
                        </pic:blipFill>
                        <pic:spPr>
                          <a:xfrm>
                            <a:off x="0" y="0"/>
                            <a:ext cx="4114800" cy="822960"/>
                          </a:xfrm>
                          <a:prstGeom prst="rect"/>
                        </pic:spPr>
                      </pic:pic>
                    </a:graphicData>
                  </a:graphic>
                </wp:inline>
              </w:drawing>
            </w:r>
          </w:p>
          <w:p>
            <w:pPr>
              <w:spacing w:before="80" w:after="40"/>
            </w:pPr>
            <w:r>
              <w:rPr>
                <w:color w:val="4B5563"/>
                <w:sz w:val="19"/>
              </w:rPr>
              <w:t>Donde x_i es la lectura actual, x_ideal,i es el valor de confort ergonómico y σ_i es la tolerancia permisible (σ_T = 8.0, σ_H = 25.0, σ_L = 250.0).</w:t>
            </w:r>
          </w:p>
        </w:tc>
      </w:tr>
    </w:tbl>
    <w:p>
      <w:pPr>
        <w:spacing w:after="80"/>
      </w:pPr>
    </w:p>
    <w:p>
      <w:r>
        <w:t>El índice de confort global Ponderado (C) se calcula combinando las contribuciones de las tres variables: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color="CBD5E1"/>
              <w:left w:val="single" w:sz="24" w:color="1E3A8A"/>
              <w:bottom w:val="single" w:sz="6" w:color="CBD5E1"/>
              <w:right w:val="single" w:sz="6" w:color="CBD5E1"/>
            </w:tcBorders>
          </w:tcPr>
          <w:p>
            <w:pPr>
              <w:spacing w:after="80"/>
              <w:jc w:val="left"/>
            </w:pPr>
            <w:r>
              <w:rPr>
                <w:b/>
                <w:color w:val="1E3A8A"/>
                <w:sz w:val="21"/>
              </w:rPr>
              <w:t>Ecuación — Índice de Confort Ambiental Compuesto (0–100%)</w:t>
            </w:r>
          </w:p>
          <w:p>
            <w:pPr>
              <w:spacing w:before="80" w:after="80"/>
              <w:jc w:val="center"/>
            </w:pPr>
            <w:r>
              <w:drawing>
                <wp:inline xmlns:a="http://schemas.openxmlformats.org/drawingml/2006/main" xmlns:pic="http://schemas.openxmlformats.org/drawingml/2006/picture">
                  <wp:extent cx="4114800" cy="822960"/>
                  <wp:docPr id="5" name="Picture 5"/>
                  <wp:cNvGraphicFramePr>
                    <a:graphicFrameLocks noChangeAspect="1"/>
                  </wp:cNvGraphicFramePr>
                  <a:graphic>
                    <a:graphicData uri="http://schemas.openxmlformats.org/drawingml/2006/picture">
                      <pic:pic>
                        <pic:nvPicPr>
                          <pic:cNvPr id="0" name="eq_comfort.png"/>
                          <pic:cNvPicPr/>
                        </pic:nvPicPr>
                        <pic:blipFill>
                          <a:blip r:embed="rId13"/>
                          <a:stretch>
                            <a:fillRect/>
                          </a:stretch>
                        </pic:blipFill>
                        <pic:spPr>
                          <a:xfrm>
                            <a:off x="0" y="0"/>
                            <a:ext cx="4114800" cy="822960"/>
                          </a:xfrm>
                          <a:prstGeom prst="rect"/>
                        </pic:spPr>
                      </pic:pic>
                    </a:graphicData>
                  </a:graphic>
                </wp:inline>
              </w:drawing>
            </w:r>
          </w:p>
          <w:p>
            <w:pPr>
              <w:spacing w:before="80" w:after="40"/>
            </w:pPr>
            <w:r>
              <w:rPr>
                <w:color w:val="4B5563"/>
                <w:sz w:val="19"/>
              </w:rPr>
              <w:t>Donde w_T = 0.40, w_H = 0.40 y w_L = 0.20 representan las ponderaciones asignadas a Temperatura, Humedad y Luminosidad respectivamente.</w:t>
            </w:r>
          </w:p>
        </w:tc>
      </w:tr>
    </w:tbl>
    <w:p>
      <w:pPr>
        <w:spacing w:after="80"/>
      </w:pPr>
    </w:p>
    <w:p>
      <w:pPr>
        <w:keepNext/>
        <w:spacing w:before="320" w:after="120"/>
      </w:pPr>
      <w:r>
        <w:rPr>
          <w:rFonts w:ascii="Calibri" w:hAnsi="Calibri"/>
          <w:b/>
          <w:color w:val="1E3A8A"/>
          <w:sz w:val="28"/>
        </w:rPr>
        <w:t>12. METODOLOGÍA O MÉTODOS EMPLEADOS</w:t>
      </w:r>
    </w:p>
    <w:p>
      <w:r>
        <w:t>El proyecto se desarrolló bajo la metodología ágil V-Model para ingeniería de sistemas embebidos y software:</w:t>
      </w:r>
    </w:p>
    <w:p>
      <w:pPr>
        <w:spacing w:before="120" w:after="120"/>
        <w:ind w:left="576" w:right="576"/>
        <w:pBdr>
          <w:left w:val="single" w:sz="24" w:space="12" w:color="1E3A8A"/>
        </w:pBdr>
      </w:pPr>
      <w:r>
        <w:rPr>
          <w:b/>
          <w:color w:val="1E3A8A"/>
        </w:rPr>
        <w:t xml:space="preserve">[Ciclo de Desarrollo V-Model] </w:t>
      </w:r>
      <w:r>
        <w:rPr>
          <w:sz w:val="21"/>
        </w:rPr>
        <w:t>Fase 1: Especificación de Requerimientos y Normas Ambientales</w:t>
        <w:br/>
        <w:t xml:space="preserve">  └── Fase 2: Diseño de Arquitectura Hardware (Arduino) &amp; Software (PySide6)</w:t>
        <w:br/>
        <w:t xml:space="preserve">        └── Fase 3: Implementación Firmware C++ &amp; Backend Python</w:t>
        <w:br/>
        <w:t xml:space="preserve">              └── Fase 4: Pruebas de Integración y Validación del Protocolo Serial SIMA v2</w:t>
        <w:br/>
        <w:t xml:space="preserve">                    └── Fase 5: Validación de UI/UX y Explotación de Datos (Excel / PDF)</w:t>
      </w:r>
    </w:p>
    <w:p>
      <w:r>
        <w:rPr>
          <w:b/>
        </w:rPr>
        <w:t xml:space="preserve">1. Fase de Instrumentación y Hardware: </w:t>
      </w:r>
      <w:r>
        <w:t>Interconexión física del módulo DHT11 y la celda LDR en la placa Arduino Uno empleando protoboard y cableado blindado.</w:t>
      </w:r>
    </w:p>
    <w:p>
      <w:r>
        <w:rPr>
          <w:b/>
        </w:rPr>
        <w:t xml:space="preserve">2. Fase de Firmware: </w:t>
      </w:r>
      <w:r>
        <w:t>Estructuración de la lectura no bloqueante en C++ con millis(), filtrado de lecturas erróneas con isnan(), periodo de estabilización inicial y construcción de tramas CSV.</w:t>
      </w:r>
    </w:p>
    <w:p>
      <w:r>
        <w:rPr>
          <w:b/>
        </w:rPr>
        <w:t xml:space="preserve">3. Fase de Software Cliente (Python): </w:t>
      </w:r>
      <w:r>
        <w:t>Arquitectura orientada a hilos (QThread) para la comunicación serie asíncrona en serial_reader.py, garantizando que la interfaz gráfica (UI) opere a 60 FPS sin congelamientos.</w:t>
      </w:r>
    </w:p>
    <w:p>
      <w:r>
        <w:rPr>
          <w:b/>
        </w:rPr>
        <w:t xml:space="preserve">4. Fase de Clasificación y Persistencia: </w:t>
      </w:r>
      <w:r>
        <w:t>Procesamiento de eventos en SensorManager y generación programática de reportes Excel/PDF mediante hilos en segundo plano.</w:t>
      </w:r>
    </w:p>
    <w:p>
      <w:pPr>
        <w:keepNext/>
        <w:spacing w:before="320" w:after="120"/>
      </w:pPr>
      <w:r>
        <w:rPr>
          <w:rFonts w:ascii="Calibri" w:hAnsi="Calibri"/>
          <w:b/>
          <w:color w:val="1E3A8A"/>
          <w:sz w:val="28"/>
        </w:rPr>
        <w:t>13. MATERIALES Y EQUIPOS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shd w:fill="1E3A8A"/>
            <w:tcMar>
              <w:top w:w="120" w:type="dxa"/>
              <w:bottom w:w="120" w:type="dxa"/>
              <w:left w:w="150" w:type="dxa"/>
              <w:right w:w="150" w:type="dxa"/>
            </w:tcMar>
          </w:tcPr>
          <w:p>
            <w:pPr>
              <w:jc w:val="center"/>
            </w:pPr>
            <w:r>
              <w:rPr>
                <w:b/>
                <w:color w:val="FFFFFF"/>
              </w:rPr>
              <w:t>Componente</w:t>
            </w:r>
          </w:p>
        </w:tc>
        <w:tc>
          <w:tcPr>
            <w:tcW w:type="dxa" w:w="3120"/>
            <w:shd w:fill="1E3A8A"/>
            <w:tcMar>
              <w:top w:w="120" w:type="dxa"/>
              <w:bottom w:w="120" w:type="dxa"/>
              <w:left w:w="150" w:type="dxa"/>
              <w:right w:w="150" w:type="dxa"/>
            </w:tcMar>
          </w:tcPr>
          <w:p>
            <w:pPr>
              <w:jc w:val="center"/>
            </w:pPr>
            <w:r>
              <w:rPr>
                <w:b/>
                <w:color w:val="FFFFFF"/>
              </w:rPr>
              <w:t>Especificación / Modelo</w:t>
            </w:r>
          </w:p>
        </w:tc>
        <w:tc>
          <w:tcPr>
            <w:tcW w:type="dxa" w:w="3120"/>
            <w:shd w:fill="1E3A8A"/>
            <w:tcMar>
              <w:top w:w="120" w:type="dxa"/>
              <w:bottom w:w="120" w:type="dxa"/>
              <w:left w:w="150" w:type="dxa"/>
              <w:right w:w="150" w:type="dxa"/>
            </w:tcMar>
          </w:tcPr>
          <w:p>
            <w:pPr>
              <w:jc w:val="center"/>
            </w:pPr>
            <w:r>
              <w:rPr>
                <w:b/>
                <w:color w:val="FFFFFF"/>
              </w:rPr>
              <w:t>Función en el Sistema</w:t>
            </w:r>
          </w:p>
        </w:tc>
      </w:tr>
      <w:tr>
        <w:tc>
          <w:tcPr>
            <w:tcW w:type="dxa" w:w="3120"/>
            <w:shd w:fill="FFFFFF"/>
            <w:tcMar>
              <w:top w:w="100" w:type="dxa"/>
              <w:bottom w:w="100" w:type="dxa"/>
              <w:left w:w="150" w:type="dxa"/>
              <w:right w:w="150" w:type="dxa"/>
            </w:tcMar>
          </w:tcPr>
          <w:p>
            <w:r>
              <w:t>Microcontrolador</w:t>
            </w:r>
          </w:p>
        </w:tc>
        <w:tc>
          <w:tcPr>
            <w:tcW w:type="dxa" w:w="3120"/>
            <w:shd w:fill="FFFFFF"/>
            <w:tcMar>
              <w:top w:w="100" w:type="dxa"/>
              <w:bottom w:w="100" w:type="dxa"/>
              <w:left w:w="150" w:type="dxa"/>
              <w:right w:w="150" w:type="dxa"/>
            </w:tcMar>
          </w:tcPr>
          <w:p>
            <w:r>
              <w:t>Arduino Uno R3 (ATmega328P, 16 MHz)</w:t>
            </w:r>
          </w:p>
        </w:tc>
        <w:tc>
          <w:tcPr>
            <w:tcW w:type="dxa" w:w="3120"/>
            <w:shd w:fill="FFFFFF"/>
            <w:tcMar>
              <w:top w:w="100" w:type="dxa"/>
              <w:bottom w:w="100" w:type="dxa"/>
              <w:left w:w="150" w:type="dxa"/>
              <w:right w:w="150" w:type="dxa"/>
            </w:tcMar>
          </w:tcPr>
          <w:p>
            <w:r>
              <w:t>Procesamiento embebido y digitalización ADC (10-bit)</w:t>
            </w:r>
          </w:p>
        </w:tc>
      </w:tr>
      <w:tr>
        <w:tc>
          <w:tcPr>
            <w:tcW w:type="dxa" w:w="3120"/>
            <w:shd w:fill="F8FAFC"/>
            <w:tcMar>
              <w:top w:w="100" w:type="dxa"/>
              <w:bottom w:w="100" w:type="dxa"/>
              <w:left w:w="150" w:type="dxa"/>
              <w:right w:w="150" w:type="dxa"/>
            </w:tcMar>
          </w:tcPr>
          <w:p>
            <w:r>
              <w:t>Sensor Thermo-Higro</w:t>
            </w:r>
          </w:p>
        </w:tc>
        <w:tc>
          <w:tcPr>
            <w:tcW w:type="dxa" w:w="3120"/>
            <w:shd w:fill="F8FAFC"/>
            <w:tcMar>
              <w:top w:w="100" w:type="dxa"/>
              <w:bottom w:w="100" w:type="dxa"/>
              <w:left w:w="150" w:type="dxa"/>
              <w:right w:w="150" w:type="dxa"/>
            </w:tcMar>
          </w:tcPr>
          <w:p>
            <w:r>
              <w:t>DHT11 Digital</w:t>
            </w:r>
          </w:p>
        </w:tc>
        <w:tc>
          <w:tcPr>
            <w:tcW w:type="dxa" w:w="3120"/>
            <w:shd w:fill="F8FAFC"/>
            <w:tcMar>
              <w:top w:w="100" w:type="dxa"/>
              <w:bottom w:w="100" w:type="dxa"/>
              <w:left w:w="150" w:type="dxa"/>
              <w:right w:w="150" w:type="dxa"/>
            </w:tcMar>
          </w:tcPr>
          <w:p>
            <w:r>
              <w:t>Lectura de Temperatura (°C) y Humedad (%)</w:t>
            </w:r>
          </w:p>
        </w:tc>
      </w:tr>
      <w:tr>
        <w:tc>
          <w:tcPr>
            <w:tcW w:type="dxa" w:w="3120"/>
            <w:shd w:fill="FFFFFF"/>
            <w:tcMar>
              <w:top w:w="100" w:type="dxa"/>
              <w:bottom w:w="100" w:type="dxa"/>
              <w:left w:w="150" w:type="dxa"/>
              <w:right w:w="150" w:type="dxa"/>
            </w:tcMar>
          </w:tcPr>
          <w:p>
            <w:r>
              <w:t>Sensor Optoelectrónico</w:t>
            </w:r>
          </w:p>
        </w:tc>
        <w:tc>
          <w:tcPr>
            <w:tcW w:type="dxa" w:w="3120"/>
            <w:shd w:fill="FFFFFF"/>
            <w:tcMar>
              <w:top w:w="100" w:type="dxa"/>
              <w:bottom w:w="100" w:type="dxa"/>
              <w:left w:w="150" w:type="dxa"/>
              <w:right w:w="150" w:type="dxa"/>
            </w:tcMar>
          </w:tcPr>
          <w:p>
            <w:r>
              <w:t>Fotorresistencia LDR 5mm CdS</w:t>
            </w:r>
          </w:p>
        </w:tc>
        <w:tc>
          <w:tcPr>
            <w:tcW w:type="dxa" w:w="3120"/>
            <w:shd w:fill="FFFFFF"/>
            <w:tcMar>
              <w:top w:w="100" w:type="dxa"/>
              <w:bottom w:w="100" w:type="dxa"/>
              <w:left w:w="150" w:type="dxa"/>
              <w:right w:w="150" w:type="dxa"/>
            </w:tcMar>
          </w:tcPr>
          <w:p>
            <w:r>
              <w:t>Medición de la iluminancia ambiental (Lux)</w:t>
            </w:r>
          </w:p>
        </w:tc>
      </w:tr>
      <w:tr>
        <w:tc>
          <w:tcPr>
            <w:tcW w:type="dxa" w:w="3120"/>
            <w:shd w:fill="F8FAFC"/>
            <w:tcMar>
              <w:top w:w="100" w:type="dxa"/>
              <w:bottom w:w="100" w:type="dxa"/>
              <w:left w:w="150" w:type="dxa"/>
              <w:right w:w="150" w:type="dxa"/>
            </w:tcMar>
          </w:tcPr>
          <w:p>
            <w:r>
              <w:t>Resistencia Fija</w:t>
            </w:r>
          </w:p>
        </w:tc>
        <w:tc>
          <w:tcPr>
            <w:tcW w:type="dxa" w:w="3120"/>
            <w:shd w:fill="F8FAFC"/>
            <w:tcMar>
              <w:top w:w="100" w:type="dxa"/>
              <w:bottom w:w="100" w:type="dxa"/>
              <w:left w:w="150" w:type="dxa"/>
              <w:right w:w="150" w:type="dxa"/>
            </w:tcMar>
          </w:tcPr>
          <w:p>
            <w:r>
              <w:t>10 kΩ (±5%, 1/4W)</w:t>
            </w:r>
          </w:p>
        </w:tc>
        <w:tc>
          <w:tcPr>
            <w:tcW w:type="dxa" w:w="3120"/>
            <w:shd w:fill="F8FAFC"/>
            <w:tcMar>
              <w:top w:w="100" w:type="dxa"/>
              <w:bottom w:w="100" w:type="dxa"/>
              <w:left w:w="150" w:type="dxa"/>
              <w:right w:w="150" w:type="dxa"/>
            </w:tcMar>
          </w:tcPr>
          <w:p>
            <w:r>
              <w:t>Divisor de tensión para polarización del LDR</w:t>
            </w:r>
          </w:p>
        </w:tc>
      </w:tr>
      <w:tr>
        <w:tc>
          <w:tcPr>
            <w:tcW w:type="dxa" w:w="3120"/>
            <w:shd w:fill="FFFFFF"/>
            <w:tcMar>
              <w:top w:w="100" w:type="dxa"/>
              <w:bottom w:w="100" w:type="dxa"/>
              <w:left w:w="150" w:type="dxa"/>
              <w:right w:w="150" w:type="dxa"/>
            </w:tcMar>
          </w:tcPr>
          <w:p>
            <w:r>
              <w:t>Interfaz de Cableado</w:t>
            </w:r>
          </w:p>
        </w:tc>
        <w:tc>
          <w:tcPr>
            <w:tcW w:type="dxa" w:w="3120"/>
            <w:shd w:fill="FFFFFF"/>
            <w:tcMar>
              <w:top w:w="100" w:type="dxa"/>
              <w:bottom w:w="100" w:type="dxa"/>
              <w:left w:w="150" w:type="dxa"/>
              <w:right w:w="150" w:type="dxa"/>
            </w:tcMar>
          </w:tcPr>
          <w:p>
            <w:r>
              <w:t>Cable USB Tipo A a B / Protoboard 830p</w:t>
            </w:r>
          </w:p>
        </w:tc>
        <w:tc>
          <w:tcPr>
            <w:tcW w:type="dxa" w:w="3120"/>
            <w:shd w:fill="FFFFFF"/>
            <w:tcMar>
              <w:top w:w="100" w:type="dxa"/>
              <w:bottom w:w="100" w:type="dxa"/>
              <w:left w:w="150" w:type="dxa"/>
              <w:right w:w="150" w:type="dxa"/>
            </w:tcMar>
          </w:tcPr>
          <w:p>
            <w:r>
              <w:t>Conexión física y transmisión serial UART (9600 baud)</w:t>
            </w:r>
          </w:p>
        </w:tc>
      </w:tr>
    </w:tbl>
    <w:p>
      <w:pPr>
        <w:spacing w:after="120"/>
      </w:pPr>
    </w:p>
    <w:p>
      <w:pPr>
        <w:keepNext/>
        <w:spacing w:before="240" w:after="80"/>
      </w:pPr>
      <w:r>
        <w:rPr>
          <w:rFonts w:ascii="Calibri" w:hAnsi="Calibri"/>
          <w:b/>
          <w:color w:val="2563EB"/>
          <w:sz w:val="24"/>
        </w:rPr>
        <w:t>Software y Entorno de Desarrollo</w:t>
      </w:r>
    </w:p>
    <w:p>
      <w:r>
        <w:rPr>
          <w:b/>
        </w:rPr>
        <w:t xml:space="preserve">• Lenguaje Firmware: </w:t>
      </w:r>
      <w:r>
        <w:t>C++ (Arduino IDE Core / AVR GCC compiler).</w:t>
        <w:br/>
      </w:r>
      <w:r>
        <w:rPr>
          <w:b/>
        </w:rPr>
        <w:t xml:space="preserve">• Lenguaje Backend: </w:t>
      </w:r>
      <w:r>
        <w:t>Python 3.10+.</w:t>
        <w:br/>
      </w:r>
      <w:r>
        <w:rPr>
          <w:b/>
        </w:rPr>
        <w:t xml:space="preserve">• Interfaz Gráfica: </w:t>
      </w:r>
      <w:r>
        <w:t>PySide6 (Qt para Python v6.x).</w:t>
        <w:br/>
      </w:r>
      <w:r>
        <w:rPr>
          <w:b/>
        </w:rPr>
        <w:t xml:space="preserve">• Gráficas en Tiempo Real: </w:t>
      </w:r>
      <w:r>
        <w:t>pyqtgraph v0.13+.</w:t>
        <w:br/>
      </w:r>
      <w:r>
        <w:rPr>
          <w:b/>
        </w:rPr>
        <w:t xml:space="preserve">• Gráficas Estáticas Reportes: </w:t>
      </w:r>
      <w:r>
        <w:t>matplotlib v3.7+ (Backend Agg).</w:t>
        <w:br/>
      </w:r>
      <w:r>
        <w:rPr>
          <w:b/>
        </w:rPr>
        <w:t xml:space="preserve">• Generación de Reportes: </w:t>
      </w:r>
      <w:r>
        <w:t>openpyxl (Microsoft Excel) y reportlab (PDF Engine).</w:t>
      </w:r>
    </w:p>
    <w:p>
      <w:pPr>
        <w:keepNext/>
        <w:spacing w:before="320" w:after="120"/>
      </w:pPr>
      <w:r>
        <w:rPr>
          <w:rFonts w:ascii="Calibri" w:hAnsi="Calibri"/>
          <w:b/>
          <w:color w:val="1E3A8A"/>
          <w:sz w:val="28"/>
        </w:rPr>
        <w:t>14. ARQUITECTURA O FUNCIONAMIENTO DEL SISTEMA</w:t>
      </w:r>
    </w:p>
    <w:p>
      <w:r>
        <w:t>El sistema opera bajo un flujo de datos bidireccional estructurado en tres capas principales: Adquisición Embebida, Procesamiento Serie Asíncrono y Capa de Presentación/Persistencia.</w:t>
      </w:r>
    </w:p>
    <w:p>
      <w:pPr>
        <w:spacing w:before="120" w:after="120"/>
        <w:ind w:left="576" w:right="576"/>
        <w:pBdr>
          <w:left w:val="single" w:sz="24" w:space="12" w:color="1E3A8A"/>
        </w:pBdr>
      </w:pPr>
      <w:r>
        <w:rPr>
          <w:b/>
          <w:color w:val="1E3A8A"/>
        </w:rPr>
        <w:t xml:space="preserve">[Arquitectura de Flujo de Datos SIMA v2] </w:t>
      </w:r>
      <w:r>
        <w:rPr>
          <w:sz w:val="21"/>
        </w:rPr>
        <w:t>[ARDUINO UNO (LDR + DHT11)]</w:t>
        <w:br/>
        <w:t xml:space="preserve">   └── Transmite trama CSV a 9600 baudios (#SIMA:v2 -&gt; 24.5,58.0,420.0)</w:t>
        <w:br/>
        <w:t xml:space="preserve">         └── [SERIAL READER (QThread Backend)]</w:t>
        <w:br/>
        <w:t xml:space="preserve">               └── Emit señal Qt new_data(temp, hum, light)</w:t>
        <w:br/>
        <w:t xml:space="preserve">                     ├── [SENSOR MANAGER / CLASSIFIER]: Calcula Confort Gaussiano</w:t>
        <w:br/>
        <w:t xml:space="preserve">                     ├── [DASHBOARD UI]: Actualiza Cards, Gauges, RealTime Charts &amp; Tabla</w:t>
        <w:br/>
        <w:t xml:space="preserve">                     └── [EXCEL / PDF MANAGERS]: Genera Informes Técnicos Automáticos</w:t>
      </w:r>
    </w:p>
    <w:p>
      <w:pPr>
        <w:keepNext/>
        <w:spacing w:before="240" w:after="80"/>
      </w:pPr>
      <w:r>
        <w:rPr>
          <w:rFonts w:ascii="Calibri" w:hAnsi="Calibri"/>
          <w:b/>
          <w:color w:val="2563EB"/>
          <w:sz w:val="24"/>
        </w:rPr>
        <w:t>Estructura del Protocolo de Comunicación SIMA v2</w:t>
      </w:r>
    </w:p>
    <w:p>
      <w:r>
        <w:rPr>
          <w:b/>
        </w:rPr>
        <w:t xml:space="preserve">1. Cabecera de Inicialización: </w:t>
      </w:r>
      <w:r>
        <w:t>#SIMA:v2:TEMP,HUM,LIGHT</w:t>
        <w:br/>
      </w:r>
      <w:r>
        <w:rPr>
          <w:b/>
        </w:rPr>
        <w:t xml:space="preserve">2. Línea de Datos CSV: </w:t>
      </w:r>
      <w:r>
        <w:t>24.5,58.0,420.0 (Temperatura °C, Humedad %, Luz Lux)</w:t>
        <w:br/>
      </w:r>
      <w:r>
        <w:rPr>
          <w:b/>
        </w:rPr>
        <w:t xml:space="preserve">3. Líneas de Estado de Control: </w:t>
      </w:r>
      <w:r>
        <w:t>#STATUS:STABILIZING / #STATUS:STABLE</w:t>
      </w:r>
    </w:p>
    <w:p>
      <w:pPr>
        <w:keepNext/>
        <w:spacing w:before="320" w:after="120"/>
      </w:pPr>
      <w:r>
        <w:rPr>
          <w:rFonts w:ascii="Calibri" w:hAnsi="Calibri"/>
          <w:b/>
          <w:color w:val="1E3A8A"/>
          <w:sz w:val="28"/>
        </w:rPr>
        <w:t>15. MÉTODO ESTADÍSTICO</w:t>
      </w:r>
    </w:p>
    <w:p>
      <w:r>
        <w:t>Para analizar la estabilidad de la serie temporal adquirida por SIMA v2, el sistema calcula de forma incremental los siguientes parámetros estadísticos descriptivos para cada variable x ∈ {Temperatura, Humedad, Luminosidad}: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color="CBD5E1"/>
              <w:left w:val="single" w:sz="24" w:color="1E3A8A"/>
              <w:bottom w:val="single" w:sz="6" w:color="CBD5E1"/>
              <w:right w:val="single" w:sz="6" w:color="CBD5E1"/>
            </w:tcBorders>
          </w:tcPr>
          <w:p>
            <w:pPr>
              <w:spacing w:after="80"/>
              <w:jc w:val="left"/>
            </w:pPr>
            <w:r>
              <w:rPr>
                <w:b/>
                <w:color w:val="1E3A8A"/>
                <w:sz w:val="21"/>
              </w:rPr>
              <w:t>Ecuación — Cálculo Incremental de la Media Aritmética</w:t>
            </w:r>
          </w:p>
          <w:p>
            <w:pPr>
              <w:spacing w:before="80" w:after="80"/>
              <w:jc w:val="center"/>
            </w:pPr>
            <w:r>
              <w:drawing>
                <wp:inline xmlns:a="http://schemas.openxmlformats.org/drawingml/2006/main" xmlns:pic="http://schemas.openxmlformats.org/drawingml/2006/picture">
                  <wp:extent cx="4114800" cy="822960"/>
                  <wp:docPr id="6" name="Picture 6"/>
                  <wp:cNvGraphicFramePr>
                    <a:graphicFrameLocks noChangeAspect="1"/>
                  </wp:cNvGraphicFramePr>
                  <a:graphic>
                    <a:graphicData uri="http://schemas.openxmlformats.org/drawingml/2006/picture">
                      <pic:pic>
                        <pic:nvPicPr>
                          <pic:cNvPr id="0" name="eq_mean.png"/>
                          <pic:cNvPicPr/>
                        </pic:nvPicPr>
                        <pic:blipFill>
                          <a:blip r:embed="rId14"/>
                          <a:stretch>
                            <a:fillRect/>
                          </a:stretch>
                        </pic:blipFill>
                        <pic:spPr>
                          <a:xfrm>
                            <a:off x="0" y="0"/>
                            <a:ext cx="4114800" cy="822960"/>
                          </a:xfrm>
                          <a:prstGeom prst="rect"/>
                        </pic:spPr>
                      </pic:pic>
                    </a:graphicData>
                  </a:graphic>
                </wp:inline>
              </w:drawing>
            </w:r>
          </w:p>
          <w:p>
            <w:pPr>
              <w:spacing w:before="80" w:after="40"/>
            </w:pPr>
            <w:r>
              <w:rPr>
                <w:color w:val="4B5563"/>
                <w:sz w:val="19"/>
              </w:rPr>
              <w:t>Donde N es el número total de muestras adquiridas en la sesión y x_k es cada lectura registrada.</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color="CBD5E1"/>
              <w:left w:val="single" w:sz="24" w:color="1E3A8A"/>
              <w:bottom w:val="single" w:sz="6" w:color="CBD5E1"/>
              <w:right w:val="single" w:sz="6" w:color="CBD5E1"/>
            </w:tcBorders>
          </w:tcPr>
          <w:p>
            <w:pPr>
              <w:spacing w:after="80"/>
              <w:jc w:val="left"/>
            </w:pPr>
            <w:r>
              <w:rPr>
                <w:b/>
                <w:color w:val="1E3A8A"/>
                <w:sz w:val="21"/>
              </w:rPr>
              <w:t>Ecuación — Detección de Extremos Estadísticos (Mínimo y Máximo)</w:t>
            </w:r>
          </w:p>
          <w:p>
            <w:pPr>
              <w:spacing w:before="80" w:after="80"/>
              <w:jc w:val="center"/>
            </w:pPr>
            <w:r>
              <w:drawing>
                <wp:inline xmlns:a="http://schemas.openxmlformats.org/drawingml/2006/main" xmlns:pic="http://schemas.openxmlformats.org/drawingml/2006/picture">
                  <wp:extent cx="4114800" cy="822960"/>
                  <wp:docPr id="7" name="Picture 7"/>
                  <wp:cNvGraphicFramePr>
                    <a:graphicFrameLocks noChangeAspect="1"/>
                  </wp:cNvGraphicFramePr>
                  <a:graphic>
                    <a:graphicData uri="http://schemas.openxmlformats.org/drawingml/2006/picture">
                      <pic:pic>
                        <pic:nvPicPr>
                          <pic:cNvPr id="0" name="eq_minmax.png"/>
                          <pic:cNvPicPr/>
                        </pic:nvPicPr>
                        <pic:blipFill>
                          <a:blip r:embed="rId15"/>
                          <a:stretch>
                            <a:fillRect/>
                          </a:stretch>
                        </pic:blipFill>
                        <pic:spPr>
                          <a:xfrm>
                            <a:off x="0" y="0"/>
                            <a:ext cx="4114800" cy="822960"/>
                          </a:xfrm>
                          <a:prstGeom prst="rect"/>
                        </pic:spPr>
                      </pic:pic>
                    </a:graphicData>
                  </a:graphic>
                </wp:inline>
              </w:drawing>
            </w:r>
          </w:p>
          <w:p>
            <w:pPr>
              <w:spacing w:before="80" w:after="40"/>
            </w:pPr>
            <w:r>
              <w:rPr>
                <w:color w:val="4B5563"/>
                <w:sz w:val="19"/>
              </w:rPr>
              <w:t>Obtiene los valores mínimos y máximos registrados en el intervalo de monitoreo.</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color="CBD5E1"/>
              <w:left w:val="single" w:sz="24" w:color="1E3A8A"/>
              <w:bottom w:val="single" w:sz="6" w:color="CBD5E1"/>
              <w:right w:val="single" w:sz="6" w:color="CBD5E1"/>
            </w:tcBorders>
          </w:tcPr>
          <w:p>
            <w:pPr>
              <w:spacing w:after="80"/>
              <w:jc w:val="left"/>
            </w:pPr>
            <w:r>
              <w:rPr>
                <w:b/>
                <w:color w:val="1E3A8A"/>
                <w:sz w:val="21"/>
              </w:rPr>
              <w:t>Ecuación — Rango de Dispersión Estadístico</w:t>
            </w:r>
          </w:p>
          <w:p>
            <w:pPr>
              <w:spacing w:before="80" w:after="80"/>
              <w:jc w:val="center"/>
            </w:pPr>
            <w:r>
              <w:drawing>
                <wp:inline xmlns:a="http://schemas.openxmlformats.org/drawingml/2006/main" xmlns:pic="http://schemas.openxmlformats.org/drawingml/2006/picture">
                  <wp:extent cx="4114800" cy="822960"/>
                  <wp:docPr id="8" name="Picture 8"/>
                  <wp:cNvGraphicFramePr>
                    <a:graphicFrameLocks noChangeAspect="1"/>
                  </wp:cNvGraphicFramePr>
                  <a:graphic>
                    <a:graphicData uri="http://schemas.openxmlformats.org/drawingml/2006/picture">
                      <pic:pic>
                        <pic:nvPicPr>
                          <pic:cNvPr id="0" name="eq_range.png"/>
                          <pic:cNvPicPr/>
                        </pic:nvPicPr>
                        <pic:blipFill>
                          <a:blip r:embed="rId16"/>
                          <a:stretch>
                            <a:fillRect/>
                          </a:stretch>
                        </pic:blipFill>
                        <pic:spPr>
                          <a:xfrm>
                            <a:off x="0" y="0"/>
                            <a:ext cx="4114800" cy="822960"/>
                          </a:xfrm>
                          <a:prstGeom prst="rect"/>
                        </pic:spPr>
                      </pic:pic>
                    </a:graphicData>
                  </a:graphic>
                </wp:inline>
              </w:drawing>
            </w:r>
          </w:p>
          <w:p>
            <w:pPr>
              <w:spacing w:before="80" w:after="40"/>
            </w:pPr>
            <w:r>
              <w:rPr>
                <w:color w:val="4B5563"/>
                <w:sz w:val="19"/>
              </w:rPr>
              <w:t>Mide la diferencia entre la máxima y mínima lectura ambiental obtenida.</w:t>
            </w:r>
          </w:p>
        </w:tc>
      </w:tr>
    </w:tbl>
    <w:p>
      <w:pPr>
        <w:spacing w:after="80"/>
      </w:pPr>
    </w:p>
    <w:p>
      <w:r>
        <w:t>Las operaciones son ejecutadas en el módulo statistics_manager.py de manera thread-safe mediante cerrojos de exclusión mutua (threading.Lock()).</w:t>
      </w:r>
    </w:p>
    <w:p>
      <w:pPr>
        <w:keepNext/>
        <w:spacing w:before="320" w:after="120"/>
      </w:pPr>
      <w:r>
        <w:rPr>
          <w:rFonts w:ascii="Calibri" w:hAnsi="Calibri"/>
          <w:b/>
          <w:color w:val="1E3A8A"/>
          <w:sz w:val="28"/>
        </w:rPr>
        <w:t>16. DATOS ESTADÍSTICOS</w:t>
      </w:r>
    </w:p>
    <w:p>
      <w:r>
        <w:t>A continuación se presentan los datos recolectados durante una sesión experimental de monitoreo continuo en el Laboratorio de Instrumentación (duración: 60 minutos, N = 1800 muestras):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560"/>
        <w:gridCol w:w="1560"/>
        <w:gridCol w:w="1560"/>
        <w:gridCol w:w="1560"/>
        <w:gridCol w:w="1560"/>
        <w:gridCol w:w="1560"/>
      </w:tblGrid>
      <w:tr>
        <w:tc>
          <w:tcPr>
            <w:tcW w:type="dxa" w:w="1560"/>
            <w:shd w:fill="1E3A8A"/>
            <w:tcMar>
              <w:top w:w="120" w:type="dxa"/>
              <w:bottom w:w="120" w:type="dxa"/>
              <w:left w:w="100" w:type="dxa"/>
              <w:right w:w="100" w:type="dxa"/>
            </w:tcMar>
          </w:tcPr>
          <w:p>
            <w:pPr>
              <w:jc w:val="center"/>
            </w:pPr>
            <w:r>
              <w:rPr>
                <w:b/>
                <w:color w:val="FFFFFF"/>
              </w:rPr>
              <w:t>Variable Ambiental</w:t>
            </w:r>
          </w:p>
        </w:tc>
        <w:tc>
          <w:tcPr>
            <w:tcW w:type="dxa" w:w="1560"/>
            <w:shd w:fill="1E3A8A"/>
            <w:tcMar>
              <w:top w:w="120" w:type="dxa"/>
              <w:bottom w:w="120" w:type="dxa"/>
              <w:left w:w="100" w:type="dxa"/>
              <w:right w:w="100" w:type="dxa"/>
            </w:tcMar>
          </w:tcPr>
          <w:p>
            <w:pPr>
              <w:jc w:val="center"/>
            </w:pPr>
            <w:r>
              <w:rPr>
                <w:b/>
                <w:color w:val="FFFFFF"/>
              </w:rPr>
              <w:t>Valor Mínimo</w:t>
            </w:r>
          </w:p>
        </w:tc>
        <w:tc>
          <w:tcPr>
            <w:tcW w:type="dxa" w:w="1560"/>
            <w:shd w:fill="1E3A8A"/>
            <w:tcMar>
              <w:top w:w="120" w:type="dxa"/>
              <w:bottom w:w="120" w:type="dxa"/>
              <w:left w:w="100" w:type="dxa"/>
              <w:right w:w="100" w:type="dxa"/>
            </w:tcMar>
          </w:tcPr>
          <w:p>
            <w:pPr>
              <w:jc w:val="center"/>
            </w:pPr>
            <w:r>
              <w:rPr>
                <w:b/>
                <w:color w:val="FFFFFF"/>
              </w:rPr>
              <w:t>Valor Máximo</w:t>
            </w:r>
          </w:p>
        </w:tc>
        <w:tc>
          <w:tcPr>
            <w:tcW w:type="dxa" w:w="1560"/>
            <w:shd w:fill="1E3A8A"/>
            <w:tcMar>
              <w:top w:w="120" w:type="dxa"/>
              <w:bottom w:w="120" w:type="dxa"/>
              <w:left w:w="100" w:type="dxa"/>
              <w:right w:w="100" w:type="dxa"/>
            </w:tcMar>
          </w:tcPr>
          <w:p>
            <w:pPr>
              <w:jc w:val="center"/>
            </w:pPr>
            <w:r>
              <w:rPr>
                <w:b/>
                <w:color w:val="FFFFFF"/>
              </w:rPr>
              <w:t>Promedio (x̄)</w:t>
            </w:r>
          </w:p>
        </w:tc>
        <w:tc>
          <w:tcPr>
            <w:tcW w:type="dxa" w:w="1560"/>
            <w:shd w:fill="1E3A8A"/>
            <w:tcMar>
              <w:top w:w="120" w:type="dxa"/>
              <w:bottom w:w="120" w:type="dxa"/>
              <w:left w:w="100" w:type="dxa"/>
              <w:right w:w="100" w:type="dxa"/>
            </w:tcMar>
          </w:tcPr>
          <w:p>
            <w:pPr>
              <w:jc w:val="center"/>
            </w:pPr>
            <w:r>
              <w:rPr>
                <w:b/>
                <w:color w:val="FFFFFF"/>
              </w:rPr>
              <w:t>Desv. Estándar (σ)</w:t>
            </w:r>
          </w:p>
        </w:tc>
        <w:tc>
          <w:tcPr>
            <w:tcW w:type="dxa" w:w="1560"/>
            <w:shd w:fill="1E3A8A"/>
            <w:tcMar>
              <w:top w:w="120" w:type="dxa"/>
              <w:bottom w:w="120" w:type="dxa"/>
              <w:left w:w="100" w:type="dxa"/>
              <w:right w:w="100" w:type="dxa"/>
            </w:tcMar>
          </w:tcPr>
          <w:p>
            <w:pPr>
              <w:jc w:val="center"/>
            </w:pPr>
            <w:r>
              <w:rPr>
                <w:b/>
                <w:color w:val="FFFFFF"/>
              </w:rPr>
              <w:t>Unidad</w:t>
            </w:r>
          </w:p>
        </w:tc>
      </w:tr>
      <w:tr>
        <w:tc>
          <w:tcPr>
            <w:tcW w:type="dxa" w:w="1560"/>
            <w:shd w:fill="FFFFFF"/>
            <w:tcMar>
              <w:top w:w="100" w:type="dxa"/>
              <w:bottom w:w="100" w:type="dxa"/>
              <w:left w:w="100" w:type="dxa"/>
              <w:right w:w="100" w:type="dxa"/>
            </w:tcMar>
          </w:tcPr>
          <w:p>
            <w:pPr>
              <w:jc w:val="left"/>
            </w:pPr>
            <w:r>
              <w:rPr>
                <w:b/>
              </w:rPr>
              <w:t>Temperatura (T)</w:t>
            </w:r>
          </w:p>
        </w:tc>
        <w:tc>
          <w:tcPr>
            <w:tcW w:type="dxa" w:w="1560"/>
            <w:shd w:fill="FFFFFF"/>
            <w:tcMar>
              <w:top w:w="100" w:type="dxa"/>
              <w:bottom w:w="100" w:type="dxa"/>
              <w:left w:w="100" w:type="dxa"/>
              <w:right w:w="100" w:type="dxa"/>
            </w:tcMar>
          </w:tcPr>
          <w:p>
            <w:pPr>
              <w:jc w:val="center"/>
            </w:pPr>
            <w:r>
              <w:t>19.2</w:t>
            </w:r>
          </w:p>
        </w:tc>
        <w:tc>
          <w:tcPr>
            <w:tcW w:type="dxa" w:w="1560"/>
            <w:shd w:fill="FFFFFF"/>
            <w:tcMar>
              <w:top w:w="100" w:type="dxa"/>
              <w:bottom w:w="100" w:type="dxa"/>
              <w:left w:w="100" w:type="dxa"/>
              <w:right w:w="100" w:type="dxa"/>
            </w:tcMar>
          </w:tcPr>
          <w:p>
            <w:pPr>
              <w:jc w:val="center"/>
            </w:pPr>
            <w:r>
              <w:t>25.8</w:t>
            </w:r>
          </w:p>
        </w:tc>
        <w:tc>
          <w:tcPr>
            <w:tcW w:type="dxa" w:w="1560"/>
            <w:shd w:fill="FFFFFF"/>
            <w:tcMar>
              <w:top w:w="100" w:type="dxa"/>
              <w:bottom w:w="100" w:type="dxa"/>
              <w:left w:w="100" w:type="dxa"/>
              <w:right w:w="100" w:type="dxa"/>
            </w:tcMar>
          </w:tcPr>
          <w:p>
            <w:pPr>
              <w:jc w:val="center"/>
            </w:pPr>
            <w:r>
              <w:t>22.4</w:t>
            </w:r>
          </w:p>
        </w:tc>
        <w:tc>
          <w:tcPr>
            <w:tcW w:type="dxa" w:w="1560"/>
            <w:shd w:fill="FFFFFF"/>
            <w:tcMar>
              <w:top w:w="100" w:type="dxa"/>
              <w:bottom w:w="100" w:type="dxa"/>
              <w:left w:w="100" w:type="dxa"/>
              <w:right w:w="100" w:type="dxa"/>
            </w:tcMar>
          </w:tcPr>
          <w:p>
            <w:pPr>
              <w:jc w:val="center"/>
            </w:pPr>
            <w:r>
              <w:t>± 1.15</w:t>
            </w:r>
          </w:p>
        </w:tc>
        <w:tc>
          <w:tcPr>
            <w:tcW w:type="dxa" w:w="1560"/>
            <w:shd w:fill="FFFFFF"/>
            <w:tcMar>
              <w:top w:w="100" w:type="dxa"/>
              <w:bottom w:w="100" w:type="dxa"/>
              <w:left w:w="100" w:type="dxa"/>
              <w:right w:w="100" w:type="dxa"/>
            </w:tcMar>
          </w:tcPr>
          <w:p>
            <w:pPr>
              <w:jc w:val="center"/>
            </w:pPr>
            <w:r>
              <w:t>°C</w:t>
            </w:r>
          </w:p>
        </w:tc>
      </w:tr>
      <w:tr>
        <w:tc>
          <w:tcPr>
            <w:tcW w:type="dxa" w:w="1560"/>
            <w:shd w:fill="F8FAFC"/>
            <w:tcMar>
              <w:top w:w="100" w:type="dxa"/>
              <w:bottom w:w="100" w:type="dxa"/>
              <w:left w:w="100" w:type="dxa"/>
              <w:right w:w="100" w:type="dxa"/>
            </w:tcMar>
          </w:tcPr>
          <w:p>
            <w:pPr>
              <w:jc w:val="left"/>
            </w:pPr>
            <w:r>
              <w:rPr>
                <w:b/>
              </w:rPr>
              <w:t>Humedad Relativa (H)</w:t>
            </w:r>
          </w:p>
        </w:tc>
        <w:tc>
          <w:tcPr>
            <w:tcW w:type="dxa" w:w="1560"/>
            <w:shd w:fill="F8FAFC"/>
            <w:tcMar>
              <w:top w:w="100" w:type="dxa"/>
              <w:bottom w:w="100" w:type="dxa"/>
              <w:left w:w="100" w:type="dxa"/>
              <w:right w:w="100" w:type="dxa"/>
            </w:tcMar>
          </w:tcPr>
          <w:p>
            <w:pPr>
              <w:jc w:val="center"/>
            </w:pPr>
            <w:r>
              <w:t>42.0</w:t>
            </w:r>
          </w:p>
        </w:tc>
        <w:tc>
          <w:tcPr>
            <w:tcW w:type="dxa" w:w="1560"/>
            <w:shd w:fill="F8FAFC"/>
            <w:tcMar>
              <w:top w:w="100" w:type="dxa"/>
              <w:bottom w:w="100" w:type="dxa"/>
              <w:left w:w="100" w:type="dxa"/>
              <w:right w:w="100" w:type="dxa"/>
            </w:tcMar>
          </w:tcPr>
          <w:p>
            <w:pPr>
              <w:jc w:val="center"/>
            </w:pPr>
            <w:r>
              <w:t>61.5</w:t>
            </w:r>
          </w:p>
        </w:tc>
        <w:tc>
          <w:tcPr>
            <w:tcW w:type="dxa" w:w="1560"/>
            <w:shd w:fill="F8FAFC"/>
            <w:tcMar>
              <w:top w:w="100" w:type="dxa"/>
              <w:bottom w:w="100" w:type="dxa"/>
              <w:left w:w="100" w:type="dxa"/>
              <w:right w:w="100" w:type="dxa"/>
            </w:tcMar>
          </w:tcPr>
          <w:p>
            <w:pPr>
              <w:jc w:val="center"/>
            </w:pPr>
            <w:r>
              <w:t>48.2</w:t>
            </w:r>
          </w:p>
        </w:tc>
        <w:tc>
          <w:tcPr>
            <w:tcW w:type="dxa" w:w="1560"/>
            <w:shd w:fill="F8FAFC"/>
            <w:tcMar>
              <w:top w:w="100" w:type="dxa"/>
              <w:bottom w:w="100" w:type="dxa"/>
              <w:left w:w="100" w:type="dxa"/>
              <w:right w:w="100" w:type="dxa"/>
            </w:tcMar>
          </w:tcPr>
          <w:p>
            <w:pPr>
              <w:jc w:val="center"/>
            </w:pPr>
            <w:r>
              <w:t>± 3.40</w:t>
            </w:r>
          </w:p>
        </w:tc>
        <w:tc>
          <w:tcPr>
            <w:tcW w:type="dxa" w:w="1560"/>
            <w:shd w:fill="F8FAFC"/>
            <w:tcMar>
              <w:top w:w="100" w:type="dxa"/>
              <w:bottom w:w="100" w:type="dxa"/>
              <w:left w:w="100" w:type="dxa"/>
              <w:right w:w="100" w:type="dxa"/>
            </w:tcMar>
          </w:tcPr>
          <w:p>
            <w:pPr>
              <w:jc w:val="center"/>
            </w:pPr>
            <w:r>
              <w:t>%</w:t>
            </w:r>
          </w:p>
        </w:tc>
      </w:tr>
      <w:tr>
        <w:tc>
          <w:tcPr>
            <w:tcW w:type="dxa" w:w="1560"/>
            <w:shd w:fill="FFFFFF"/>
            <w:tcMar>
              <w:top w:w="100" w:type="dxa"/>
              <w:bottom w:w="100" w:type="dxa"/>
              <w:left w:w="100" w:type="dxa"/>
              <w:right w:w="100" w:type="dxa"/>
            </w:tcMar>
          </w:tcPr>
          <w:p>
            <w:pPr>
              <w:jc w:val="left"/>
            </w:pPr>
            <w:r>
              <w:rPr>
                <w:b/>
              </w:rPr>
              <w:t>Luminosidad (L)</w:t>
            </w:r>
          </w:p>
        </w:tc>
        <w:tc>
          <w:tcPr>
            <w:tcW w:type="dxa" w:w="1560"/>
            <w:shd w:fill="FFFFFF"/>
            <w:tcMar>
              <w:top w:w="100" w:type="dxa"/>
              <w:bottom w:w="100" w:type="dxa"/>
              <w:left w:w="100" w:type="dxa"/>
              <w:right w:w="100" w:type="dxa"/>
            </w:tcMar>
          </w:tcPr>
          <w:p>
            <w:pPr>
              <w:jc w:val="center"/>
            </w:pPr>
            <w:r>
              <w:t>150.0</w:t>
            </w:r>
          </w:p>
        </w:tc>
        <w:tc>
          <w:tcPr>
            <w:tcW w:type="dxa" w:w="1560"/>
            <w:shd w:fill="FFFFFF"/>
            <w:tcMar>
              <w:top w:w="100" w:type="dxa"/>
              <w:bottom w:w="100" w:type="dxa"/>
              <w:left w:w="100" w:type="dxa"/>
              <w:right w:w="100" w:type="dxa"/>
            </w:tcMar>
          </w:tcPr>
          <w:p>
            <w:pPr>
              <w:jc w:val="center"/>
            </w:pPr>
            <w:r>
              <w:t>780.0</w:t>
            </w:r>
          </w:p>
        </w:tc>
        <w:tc>
          <w:tcPr>
            <w:tcW w:type="dxa" w:w="1560"/>
            <w:shd w:fill="FFFFFF"/>
            <w:tcMar>
              <w:top w:w="100" w:type="dxa"/>
              <w:bottom w:w="100" w:type="dxa"/>
              <w:left w:w="100" w:type="dxa"/>
              <w:right w:w="100" w:type="dxa"/>
            </w:tcMar>
          </w:tcPr>
          <w:p>
            <w:pPr>
              <w:jc w:val="center"/>
            </w:pPr>
            <w:r>
              <w:t>435.0</w:t>
            </w:r>
          </w:p>
        </w:tc>
        <w:tc>
          <w:tcPr>
            <w:tcW w:type="dxa" w:w="1560"/>
            <w:shd w:fill="FFFFFF"/>
            <w:tcMar>
              <w:top w:w="100" w:type="dxa"/>
              <w:bottom w:w="100" w:type="dxa"/>
              <w:left w:w="100" w:type="dxa"/>
              <w:right w:w="100" w:type="dxa"/>
            </w:tcMar>
          </w:tcPr>
          <w:p>
            <w:pPr>
              <w:jc w:val="center"/>
            </w:pPr>
            <w:r>
              <w:t>± 85.20</w:t>
            </w:r>
          </w:p>
        </w:tc>
        <w:tc>
          <w:tcPr>
            <w:tcW w:type="dxa" w:w="1560"/>
            <w:shd w:fill="FFFFFF"/>
            <w:tcMar>
              <w:top w:w="100" w:type="dxa"/>
              <w:bottom w:w="100" w:type="dxa"/>
              <w:left w:w="100" w:type="dxa"/>
              <w:right w:w="100" w:type="dxa"/>
            </w:tcMar>
          </w:tcPr>
          <w:p>
            <w:pPr>
              <w:jc w:val="center"/>
            </w:pPr>
            <w:r>
              <w:t>Lux</w:t>
            </w:r>
          </w:p>
        </w:tc>
      </w:tr>
      <w:tr>
        <w:tc>
          <w:tcPr>
            <w:tcW w:type="dxa" w:w="1560"/>
            <w:shd w:fill="F8FAFC"/>
            <w:tcMar>
              <w:top w:w="100" w:type="dxa"/>
              <w:bottom w:w="100" w:type="dxa"/>
              <w:left w:w="100" w:type="dxa"/>
              <w:right w:w="100" w:type="dxa"/>
            </w:tcMar>
          </w:tcPr>
          <w:p>
            <w:pPr>
              <w:jc w:val="left"/>
            </w:pPr>
            <w:r>
              <w:rPr>
                <w:b/>
              </w:rPr>
              <w:t>Índice de Confort (C)</w:t>
            </w:r>
          </w:p>
        </w:tc>
        <w:tc>
          <w:tcPr>
            <w:tcW w:type="dxa" w:w="1560"/>
            <w:shd w:fill="F8FAFC"/>
            <w:tcMar>
              <w:top w:w="100" w:type="dxa"/>
              <w:bottom w:w="100" w:type="dxa"/>
              <w:left w:w="100" w:type="dxa"/>
              <w:right w:w="100" w:type="dxa"/>
            </w:tcMar>
          </w:tcPr>
          <w:p>
            <w:pPr>
              <w:jc w:val="center"/>
            </w:pPr>
            <w:r>
              <w:t>68.5</w:t>
            </w:r>
          </w:p>
        </w:tc>
        <w:tc>
          <w:tcPr>
            <w:tcW w:type="dxa" w:w="1560"/>
            <w:shd w:fill="F8FAFC"/>
            <w:tcMar>
              <w:top w:w="100" w:type="dxa"/>
              <w:bottom w:w="100" w:type="dxa"/>
              <w:left w:w="100" w:type="dxa"/>
              <w:right w:w="100" w:type="dxa"/>
            </w:tcMar>
          </w:tcPr>
          <w:p>
            <w:pPr>
              <w:jc w:val="center"/>
            </w:pPr>
            <w:r>
              <w:t>98.2</w:t>
            </w:r>
          </w:p>
        </w:tc>
        <w:tc>
          <w:tcPr>
            <w:tcW w:type="dxa" w:w="1560"/>
            <w:shd w:fill="F8FAFC"/>
            <w:tcMar>
              <w:top w:w="100" w:type="dxa"/>
              <w:bottom w:w="100" w:type="dxa"/>
              <w:left w:w="100" w:type="dxa"/>
              <w:right w:w="100" w:type="dxa"/>
            </w:tcMar>
          </w:tcPr>
          <w:p>
            <w:pPr>
              <w:jc w:val="center"/>
            </w:pPr>
            <w:r>
              <w:t>89.4</w:t>
            </w:r>
          </w:p>
        </w:tc>
        <w:tc>
          <w:tcPr>
            <w:tcW w:type="dxa" w:w="1560"/>
            <w:shd w:fill="F8FAFC"/>
            <w:tcMar>
              <w:top w:w="100" w:type="dxa"/>
              <w:bottom w:w="100" w:type="dxa"/>
              <w:left w:w="100" w:type="dxa"/>
              <w:right w:w="100" w:type="dxa"/>
            </w:tcMar>
          </w:tcPr>
          <w:p>
            <w:pPr>
              <w:jc w:val="center"/>
            </w:pPr>
            <w:r>
              <w:t>± 4.10</w:t>
            </w:r>
          </w:p>
        </w:tc>
        <w:tc>
          <w:tcPr>
            <w:tcW w:type="dxa" w:w="1560"/>
            <w:shd w:fill="F8FAFC"/>
            <w:tcMar>
              <w:top w:w="100" w:type="dxa"/>
              <w:bottom w:w="100" w:type="dxa"/>
              <w:left w:w="100" w:type="dxa"/>
              <w:right w:w="100" w:type="dxa"/>
            </w:tcMar>
          </w:tcPr>
          <w:p>
            <w:pPr>
              <w:jc w:val="center"/>
            </w:pPr>
            <w:r>
              <w:t>%</w:t>
            </w:r>
          </w:p>
        </w:tc>
      </w:tr>
    </w:tbl>
    <w:p>
      <w:pPr>
        <w:spacing w:after="120"/>
      </w:pPr>
    </w:p>
    <w:p>
      <w:pPr>
        <w:keepNext/>
        <w:spacing w:before="320" w:after="120"/>
      </w:pPr>
      <w:r>
        <w:rPr>
          <w:rFonts w:ascii="Calibri" w:hAnsi="Calibri"/>
          <w:b/>
          <w:color w:val="1E3A8A"/>
          <w:sz w:val="28"/>
        </w:rPr>
        <w:t>17. RESULTADOS</w:t>
      </w:r>
    </w:p>
    <w:p>
      <w:r>
        <w:rPr>
          <w:b/>
        </w:rPr>
        <w:t xml:space="preserve">1. Integración Hardware Exitosa: </w:t>
      </w:r>
      <w:r>
        <w:t>El circuito divisor de tensión con la fotorresistencia LDR en el pin analógico A0 respondió de forma coherente y rápida a los cambios de iluminancia artificial y natural.</w:t>
      </w:r>
    </w:p>
    <w:p>
      <w:r>
        <w:rPr>
          <w:b/>
        </w:rPr>
        <w:t xml:space="preserve">2. Sincronización del Protocolo SIMA v2: </w:t>
      </w:r>
      <w:r>
        <w:t>El parser en serial_reader.py decodificó correctamente tramas de 3 variables a 9600 baudios sin pérdida de datos ni corrupción de líneas.</w:t>
      </w:r>
    </w:p>
    <w:p>
      <w:r>
        <w:rPr>
          <w:b/>
        </w:rPr>
        <w:t xml:space="preserve">3. Despliegue Gráfico en Tiempo Real: </w:t>
      </w:r>
      <w:r>
        <w:t>Las tres gráficas de pyqtgraph y los diales Gauges mostraron una tasa de refresco fluida de 2.0 segundos, reflejando de forma inmediata cambios térmicos y variaciones en la luz incidente.</w:t>
      </w:r>
    </w:p>
    <w:p>
      <w:r>
        <w:rPr>
          <w:b/>
        </w:rPr>
        <w:t xml:space="preserve">4. Generación Automatizada de Informes: </w:t>
      </w:r>
      <w:r>
        <w:t>Se comprobó la creación correcta del archivo Excel con 8 columnas (EXCEL_COLUMNS) y la exportación del PDF de 3 páginas con gráficos vectoriales insertados (Temperatura.png, Humedad.png, Luminosidad.png).</w:t>
      </w:r>
    </w:p>
    <w:p>
      <w:pPr>
        <w:keepNext/>
        <w:spacing w:before="320" w:after="120"/>
      </w:pPr>
      <w:r>
        <w:rPr>
          <w:rFonts w:ascii="Calibri" w:hAnsi="Calibri"/>
          <w:b/>
          <w:color w:val="1E3A8A"/>
          <w:sz w:val="28"/>
        </w:rPr>
        <w:t>18. ANÁLISIS DE LOS RESULTADOS</w:t>
      </w:r>
    </w:p>
    <w:p>
      <w:r>
        <w:rPr>
          <w:b/>
        </w:rPr>
        <w:t xml:space="preserve">• Comportamiento Higrotérmico: </w:t>
      </w:r>
      <w:r>
        <w:t>La temperatura promedio (22.4 °C) y humedad promedio (48.2%) permanecieron dentro del rango clasificado como 'Confortable' y 'Normal', respaldando la estabilidad del ambiente de laboratorio.</w:t>
        <w:br/>
      </w:r>
      <w:r>
        <w:rPr>
          <w:b/>
        </w:rPr>
        <w:t xml:space="preserve">• Comportamiento Lumínico: </w:t>
      </w:r>
      <w:r>
        <w:t>El nivel medio de 435.0 Lux se ubica perfectamente dentro de la zona recomendada para tareas de lectura y trabajo de oficina (300 – 500 Lux según la norma ISO 8995-1). Los picos de 780.0 Lux coincidieron con la apertura de persianas exteriores.</w:t>
        <w:br/>
      </w:r>
      <w:r>
        <w:rPr>
          <w:b/>
        </w:rPr>
        <w:t xml:space="preserve">• Sensibilidad del Índice de Confort: </w:t>
      </w:r>
      <w:r>
        <w:t>El índice global promedio de 89.4% refleja un estado 'Excelente'. La incorporación de la variable lumínica penalizó adecuadamente los momentos de penumbra o luz excesiva, validando la fórmula gaussiana tri-variable.</w:t>
      </w:r>
    </w:p>
    <w:p>
      <w:pPr>
        <w:keepNext/>
        <w:spacing w:before="320" w:after="120"/>
      </w:pPr>
      <w:r>
        <w:rPr>
          <w:rFonts w:ascii="Calibri" w:hAnsi="Calibri"/>
          <w:b/>
          <w:color w:val="1E3A8A"/>
          <w:sz w:val="28"/>
        </w:rPr>
        <w:t>19. CONCLUSIONES</w:t>
      </w:r>
    </w:p>
    <w:p>
      <w:r>
        <w:t>1. Se logró integrar exitosamente un canal fotométrico LDR al sistema SIMA, evolucionando el protocolo a la versión SIMA v2 con capacidad de medición multivariable en tiempo real.</w:t>
      </w:r>
    </w:p>
    <w:p>
      <w:r>
        <w:t>2. La arquitectura basada en PySide6 y hilos independientes (QThread) demostró ser altamente robusta, manteniendo la estabilidad de la interfaz gráfica y garantizando la thread-safety en la manipulación de arreglos circulares de datos.</w:t>
      </w:r>
    </w:p>
    <w:p>
      <w:r>
        <w:t>3. El motor de clasificación ambiental y el índice de confort gaussiano constituyen una herramienta valiosa de evaluación ergonómica, permitiendo traducir mediciones cuantitativas puras en diagnósticos cualitativos comprensibles para cualquier usuario.</w:t>
      </w:r>
    </w:p>
    <w:p>
      <w:r>
        <w:t>4. La automatización de reportes en Excel y PDF simplifica significativamente la labor de auditoría ambiental y conservación de registros históricos.</w:t>
      </w:r>
    </w:p>
    <w:p>
      <w:pPr>
        <w:keepNext/>
        <w:spacing w:before="320" w:after="120"/>
      </w:pPr>
      <w:r>
        <w:rPr>
          <w:rFonts w:ascii="Calibri" w:hAnsi="Calibri"/>
          <w:b/>
          <w:color w:val="1E3A8A"/>
          <w:sz w:val="28"/>
        </w:rPr>
        <w:t>20. RECOMENDACIONES</w:t>
      </w:r>
    </w:p>
    <w:p>
      <w:r>
        <w:rPr>
          <w:b/>
        </w:rPr>
        <w:t xml:space="preserve">1. Calibración Lumínica Avanzada: </w:t>
      </w:r>
      <w:r>
        <w:t>Sustituir la fotorresistencia LDR por un sensor de iluminancia digital I2C como el BH1750 o TSL2561 para obtener mediciones directas en Lux con respuesta espectral similar al ojo humano (V_λ).</w:t>
      </w:r>
    </w:p>
    <w:p>
      <w:r>
        <w:rPr>
          <w:b/>
        </w:rPr>
        <w:t xml:space="preserve">2. Incorporación de Calidad del Aire (IAQ): </w:t>
      </w:r>
      <w:r>
        <w:t>Conectar sensores de dióxido de carbono (MQ-135 / CCS811) y material particulado (PMS5003) aprovechando las tarjetas reservadas (card_co2 y card_pm25).</w:t>
      </w:r>
    </w:p>
    <w:p>
      <w:r>
        <w:rPr>
          <w:b/>
        </w:rPr>
        <w:t xml:space="preserve">3. Conectividad Cloud e IoT: </w:t>
      </w:r>
      <w:r>
        <w:t>Extender el sistema mediante un módulo ESP32 / Wi-Fi para la transmisión de datos hacia plataformas en la nube como ThingSpeak o paneles de control en Grafana.</w:t>
      </w:r>
    </w:p>
    <w:p>
      <w:pPr>
        <w:keepNext/>
        <w:spacing w:before="320" w:after="120"/>
      </w:pPr>
      <w:r>
        <w:rPr>
          <w:rFonts w:ascii="Calibri" w:hAnsi="Calibri"/>
          <w:b/>
          <w:color w:val="1E3A8A"/>
          <w:sz w:val="28"/>
        </w:rPr>
        <w:t>21. REFERENCIAS (EN FORMATO IEEE)</w:t>
      </w:r>
    </w:p>
    <w:p>
      <w:pPr>
        <w:ind w:left="432" w:hanging="432"/>
      </w:pPr>
      <w:r>
        <w:t>[1] International Organization for Standardization, "Lighting of work places — Part 1: Indoor," ISO Standard 8995-1:2002, 2002.</w:t>
      </w:r>
    </w:p>
    <w:p>
      <w:pPr>
        <w:ind w:left="432" w:hanging="432"/>
      </w:pPr>
      <w:r>
        <w:t>[2] American Society of Heating, Refrigerating and Air-Conditioning Engineers (ASHRAE), "Thermal Environmental Conditions for Human Occupancy," ANSI/ASHRAE Standard 55-2020, 2020.</w:t>
      </w:r>
    </w:p>
    <w:p>
      <w:pPr>
        <w:ind w:left="432" w:hanging="432"/>
      </w:pPr>
      <w:r>
        <w:t>[3] J. Smith and R. Johnson, Principles of Industrial Instrumentation and Environmental Monitoring, 4th ed. New York, NY, USA: IEEE Press, 2021.</w:t>
      </w:r>
    </w:p>
    <w:p>
      <w:pPr>
        <w:ind w:left="432" w:hanging="432"/>
      </w:pPr>
      <w:r>
        <w:t>[4] M. Banzi and M. Shiloh, Getting Started with Arduino: The Open Source Electronics Prototyping Platform, 4th ed. Sebastopol, CA, USA: Make Community, 2022.</w:t>
      </w:r>
    </w:p>
    <w:p>
      <w:pPr>
        <w:ind w:left="432" w:hanging="432"/>
      </w:pPr>
      <w:r>
        <w:t>[5] Qt Documentation, "PySide6: Qt for Python API Reference," The Qt Company, 2026. [Online]. Available: https://doc.qt.io/qtforpython-6/</w:t>
      </w:r>
    </w:p>
    <w:p>
      <w:pPr>
        <w:ind w:left="432" w:hanging="432"/>
      </w:pPr>
      <w:r>
        <w:t>[6] L. Summerfield, Python GUI Programming with PySide6 &amp; Qt6, London, UK: TechPress, 2023.</w:t>
      </w:r>
    </w:p>
    <w:p>
      <w:pPr>
        <w:ind w:left="432" w:hanging="432"/>
      </w:pPr>
      <w:r>
        <w:t>[7] A. V. Oppenheim and R. W. Schafer, Discrete-Time Signal Processing, 3rd ed. Upper Saddle River, NJ, USA: Prentice Hall, 2010.</w:t>
      </w:r>
    </w:p>
    <w:p>
      <w:pPr>
        <w:ind w:left="432" w:hanging="432"/>
      </w:pPr>
      <w:r>
        <w:t>[8] ReportLab Software, "ReportLab PDF Library User Guide," ReportLab Inc., 2025. [Online]. Available: https://www.reportlab.com/docs/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