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Georgia" w:hAnsi="Georgia"/>
          <w:b/>
          <w:color w:val="2E7D32"/>
          <w:sz w:val="44"/>
        </w:rPr>
        <w:t>Pagsusuring Pampanitikan: Si Pagong at Si Matsing</w:t>
      </w:r>
    </w:p>
    <w:p>
      <w:pPr>
        <w:spacing w:after="480"/>
      </w:pPr>
      <w:r>
        <w:rPr>
          <w:rFonts w:ascii="Calibri" w:hAnsi="Calibri"/>
          <w:i/>
          <w:color w:val="718096"/>
          <w:sz w:val="24"/>
        </w:rPr>
        <w:t>Isang malalim na pag-aaral sa kasaysayan, simbolismo, at aral ng tanyag na pabula ng Pilipinas.</w:t>
      </w:r>
    </w:p>
    <w:p>
      <w:pPr>
        <w:spacing w:after="480"/>
        <w:pBdr>
          <w:bottom w:val="single" w:sz="12" w:space="1" w:color="2E7D32"/>
        </w:pBdr>
      </w:pPr>
    </w:p>
    <w:p>
      <w:pPr>
        <w:pStyle w:val="Heading1"/>
        <w:keepNext/>
        <w:spacing w:before="240" w:after="120"/>
      </w:pPr>
      <w:r>
        <w:rPr>
          <w:rFonts w:ascii="Georgia" w:hAnsi="Georgia"/>
          <w:b/>
          <w:color w:val="2E7D32"/>
          <w:sz w:val="32"/>
        </w:rPr>
        <w:t>1. Kasaysayan at Konteksto</w:t>
      </w:r>
    </w:p>
    <w:p>
      <w:pPr>
        <w:spacing w:line="276" w:lineRule="auto" w:after="240"/>
      </w:pPr>
      <w:r>
        <w:rPr>
          <w:rFonts w:ascii="Calibri" w:hAnsi="Calibri"/>
          <w:color w:val="2D3748"/>
          <w:sz w:val="22"/>
        </w:rPr>
        <w:t>Ang pabulang "Si Pagong at si Matsing" ay isa sa mga pinakatanyag na kuwentong-bayan sa Pilipinas. Noong taong 1889, binigyan ito ng pansin ng ating pambansang bayani na si Dr. José Rizal nang ilathala niya ang bersyon nito sa Ingles sa "Trübner's Oriental Record" sa London. Sa kanyang pag-aaral, inihambing niya ito sa katulad na pabula ng bansang Hapon na pinamagatang "Saru Kani Gassen" (Labanan ng Matsing at Alimango). Ipinakita ni Rizal na ang kuwentong ito ay nagmula sa katutubong ugat ng kulturang Pilipino bago pa man dumating ang mga mananakop.</w:t>
      </w:r>
    </w:p>
    <w:p>
      <w:pPr>
        <w:pStyle w:val="Heading1"/>
        <w:keepNext/>
        <w:spacing w:before="360" w:after="120"/>
      </w:pPr>
      <w:r>
        <w:rPr>
          <w:rFonts w:ascii="Georgia" w:hAnsi="Georgia"/>
          <w:b/>
          <w:color w:val="2E7D32"/>
          <w:sz w:val="32"/>
        </w:rPr>
        <w:t>2. Buod ng Kuwento</w:t>
      </w:r>
    </w:p>
    <w:p>
      <w:pPr>
        <w:spacing w:line="276" w:lineRule="auto" w:after="240"/>
      </w:pPr>
      <w:r>
        <w:rPr>
          <w:rFonts w:ascii="Calibri" w:hAnsi="Calibri"/>
          <w:color w:val="2D3748"/>
          <w:sz w:val="22"/>
        </w:rPr>
        <w:t>Nagsimula ang kuwento sa pagkakadiskubre nina Pagong at Matsing sa isang lumulutang na puno ng saging sa ilog. Nagpasya silang hatiin ito upang itanim. Dahil sa kasakiman ni Matsing, pinili niya ang itaas na bahagi na may mga dahon sa paniniwalang mas mabilis itong mamumunga. Si Pagong naman ay naiwan sa ibabang bahagi na may mga ugat. Namatay ang bahagi ni Matsing, habang sumibol at namunga naman ang kay Pagong. Nang hindi maakyat ni Pagong ang mga saging, humingi siya ng tulong kay Matsing na siya namang kumain ng lahat ng bunga sa itaas. Upang makaganti, naglagay si Pagong ng mga suso at tinik sa puno ng saging na nagdulot ng sugat kay Matsing. Sa galit ni Matsing, binigyan niya si Pagong ng pagpipiliang parusa: ang tadtarin siya sa almires o itapon sa ilog. Matalinong nagkunwari si Pagong na takot sa tubig, kaya doon siya itinapon ni Matsing—kung saan ligtas na nakalangoy palayo si Pagong.</w:t>
      </w:r>
    </w:p>
    <w:p>
      <w:pPr>
        <w:pStyle w:val="Heading1"/>
        <w:keepNext/>
        <w:spacing w:before="360" w:after="120"/>
      </w:pPr>
      <w:r>
        <w:rPr>
          <w:rFonts w:ascii="Georgia" w:hAnsi="Georgia"/>
          <w:b/>
          <w:color w:val="2E7D32"/>
          <w:sz w:val="32"/>
        </w:rPr>
        <w:t>3. Paghahambing ng mga Karakter</w:t>
      </w:r>
    </w:p>
    <w:tbl>
      <w:tblPr>
        <w:tblW w:type="auto" w:w="0"/>
        <w:tblLayout w:type="fixed"/>
        <w:tblLook w:firstColumn="1" w:firstRow="1" w:lastColumn="0" w:lastRow="0" w:noHBand="0" w:noVBand="1" w:val="04A0"/>
      </w:tblPr>
      <w:tblGrid>
        <w:gridCol w:w="3120"/>
        <w:gridCol w:w="3120"/>
        <w:gridCol w:w="3120"/>
      </w:tblGrid>
      <w:tr>
        <w:trPr>
          <w:tblHeader/>
        </w:trPr>
        <w:tc>
          <w:tcPr>
            <w:tcW w:type="dxa" w:w="2592"/>
            <w:shd w:fill="2E7D32"/>
            <w:tcMar>
              <w:top w:w="160" w:type="dxa"/>
              <w:bottom w:w="160" w:type="dxa"/>
              <w:left w:w="140" w:type="dxa"/>
              <w:right w:w="140" w:type="dxa"/>
            </w:tcMar>
            <w:vAlign w:val="center"/>
          </w:tcPr>
          <w:p>
            <w:pPr>
              <w:jc w:val="center"/>
            </w:pPr>
            <w:r>
              <w:rPr>
                <w:rFonts w:ascii="Calibri" w:hAnsi="Calibri"/>
                <w:b/>
                <w:color w:val="FFFFFF"/>
                <w:sz w:val="20"/>
              </w:rPr>
              <w:t>Katangian</w:t>
            </w:r>
          </w:p>
        </w:tc>
        <w:tc>
          <w:tcPr>
            <w:tcW w:type="dxa" w:w="3312"/>
            <w:shd w:fill="2E7D32"/>
            <w:tcMar>
              <w:top w:w="160" w:type="dxa"/>
              <w:bottom w:w="160" w:type="dxa"/>
              <w:left w:w="140" w:type="dxa"/>
              <w:right w:w="140" w:type="dxa"/>
            </w:tcMar>
            <w:vAlign w:val="center"/>
          </w:tcPr>
          <w:p>
            <w:pPr>
              <w:jc w:val="center"/>
            </w:pPr>
            <w:r>
              <w:rPr>
                <w:rFonts w:ascii="Calibri" w:hAnsi="Calibri"/>
                <w:b/>
                <w:color w:val="FFFFFF"/>
                <w:sz w:val="20"/>
              </w:rPr>
              <w:t>Si Pagong</w:t>
            </w:r>
          </w:p>
        </w:tc>
        <w:tc>
          <w:tcPr>
            <w:tcW w:type="dxa" w:w="3456"/>
            <w:shd w:fill="2E7D32"/>
            <w:tcMar>
              <w:top w:w="160" w:type="dxa"/>
              <w:bottom w:w="160" w:type="dxa"/>
              <w:left w:w="140" w:type="dxa"/>
              <w:right w:w="140" w:type="dxa"/>
            </w:tcMar>
            <w:vAlign w:val="center"/>
          </w:tcPr>
          <w:p>
            <w:pPr>
              <w:jc w:val="center"/>
            </w:pPr>
            <w:r>
              <w:rPr>
                <w:rFonts w:ascii="Calibri" w:hAnsi="Calibri"/>
                <w:b/>
                <w:color w:val="FFFFFF"/>
                <w:sz w:val="20"/>
              </w:rPr>
              <w:t>Si Matsing</w:t>
            </w:r>
          </w:p>
        </w:tc>
      </w:tr>
      <w:tr>
        <w:tc>
          <w:tcPr>
            <w:tcW w:type="dxa" w:w="2592"/>
            <w:shd w:fill="F1F8E9"/>
            <w:tcMar>
              <w:top w:w="120" w:type="dxa"/>
              <w:bottom w:w="120" w:type="dxa"/>
              <w:left w:w="140" w:type="dxa"/>
              <w:right w:w="140" w:type="dxa"/>
            </w:tcMar>
            <w:vAlign w:val="center"/>
          </w:tcPr>
          <w:p>
            <w:pPr>
              <w:jc w:val="center"/>
            </w:pPr>
            <w:r>
              <w:rPr>
                <w:rFonts w:ascii="Calibri" w:hAnsi="Calibri"/>
                <w:b/>
                <w:color w:val="2D3748"/>
                <w:sz w:val="19"/>
              </w:rPr>
              <w:t>Pangunahing Ugali</w:t>
            </w:r>
          </w:p>
        </w:tc>
        <w:tc>
          <w:tcPr>
            <w:tcW w:type="dxa" w:w="3312"/>
            <w:shd w:fill="F1F8E9"/>
            <w:tcMar>
              <w:top w:w="120" w:type="dxa"/>
              <w:bottom w:w="120" w:type="dxa"/>
              <w:left w:w="140" w:type="dxa"/>
              <w:right w:w="140" w:type="dxa"/>
            </w:tcMar>
            <w:vAlign w:val="center"/>
          </w:tcPr>
          <w:p>
            <w:pPr>
              <w:jc w:val="left"/>
            </w:pPr>
            <w:r>
              <w:rPr>
                <w:rFonts w:ascii="Calibri" w:hAnsi="Calibri"/>
                <w:color w:val="2D3748"/>
                <w:sz w:val="19"/>
              </w:rPr>
              <w:t>Matiyaga, mapagkumbaba, at matalino</w:t>
            </w:r>
          </w:p>
        </w:tc>
        <w:tc>
          <w:tcPr>
            <w:tcW w:type="dxa" w:w="3456"/>
            <w:shd w:fill="F1F8E9"/>
            <w:tcMar>
              <w:top w:w="120" w:type="dxa"/>
              <w:bottom w:w="120" w:type="dxa"/>
              <w:left w:w="140" w:type="dxa"/>
              <w:right w:w="140" w:type="dxa"/>
            </w:tcMar>
            <w:vAlign w:val="center"/>
          </w:tcPr>
          <w:p>
            <w:pPr>
              <w:jc w:val="left"/>
            </w:pPr>
            <w:r>
              <w:rPr>
                <w:rFonts w:ascii="Calibri" w:hAnsi="Calibri"/>
                <w:color w:val="2D3748"/>
                <w:sz w:val="19"/>
              </w:rPr>
              <w:t>Mabilis magdesisyon, mayabang, at sakim</w:t>
            </w:r>
          </w:p>
        </w:tc>
      </w:tr>
      <w:tr>
        <w:tc>
          <w:tcPr>
            <w:tcW w:type="dxa" w:w="2592"/>
            <w:shd w:fill="FFFFFF"/>
            <w:tcMar>
              <w:top w:w="120" w:type="dxa"/>
              <w:bottom w:w="120" w:type="dxa"/>
              <w:left w:w="140" w:type="dxa"/>
              <w:right w:w="140" w:type="dxa"/>
            </w:tcMar>
            <w:vAlign w:val="center"/>
          </w:tcPr>
          <w:p>
            <w:pPr>
              <w:jc w:val="center"/>
            </w:pPr>
            <w:r>
              <w:rPr>
                <w:rFonts w:ascii="Calibri" w:hAnsi="Calibri"/>
                <w:b/>
                <w:color w:val="2D3748"/>
                <w:sz w:val="19"/>
              </w:rPr>
              <w:t>Bahagi ng Saging na Pinili</w:t>
            </w:r>
          </w:p>
        </w:tc>
        <w:tc>
          <w:tcPr>
            <w:tcW w:type="dxa" w:w="3312"/>
            <w:shd w:fill="FFFFFF"/>
            <w:tcMar>
              <w:top w:w="120" w:type="dxa"/>
              <w:bottom w:w="120" w:type="dxa"/>
              <w:left w:w="140" w:type="dxa"/>
              <w:right w:w="140" w:type="dxa"/>
            </w:tcMar>
            <w:vAlign w:val="center"/>
          </w:tcPr>
          <w:p>
            <w:pPr>
              <w:jc w:val="left"/>
            </w:pPr>
            <w:r>
              <w:rPr>
                <w:rFonts w:ascii="Calibri" w:hAnsi="Calibri"/>
                <w:color w:val="2D3748"/>
                <w:sz w:val="19"/>
              </w:rPr>
              <w:t>Ibabang bahagi (may ugat)</w:t>
            </w:r>
          </w:p>
        </w:tc>
        <w:tc>
          <w:tcPr>
            <w:tcW w:type="dxa" w:w="3456"/>
            <w:shd w:fill="FFFFFF"/>
            <w:tcMar>
              <w:top w:w="120" w:type="dxa"/>
              <w:bottom w:w="120" w:type="dxa"/>
              <w:left w:w="140" w:type="dxa"/>
              <w:right w:w="140" w:type="dxa"/>
            </w:tcMar>
            <w:vAlign w:val="center"/>
          </w:tcPr>
          <w:p>
            <w:pPr>
              <w:jc w:val="left"/>
            </w:pPr>
            <w:r>
              <w:rPr>
                <w:rFonts w:ascii="Calibri" w:hAnsi="Calibri"/>
                <w:color w:val="2D3748"/>
                <w:sz w:val="19"/>
              </w:rPr>
              <w:t>Itaas na bahagi (may mga dahon)</w:t>
            </w:r>
          </w:p>
        </w:tc>
      </w:tr>
      <w:tr>
        <w:tc>
          <w:tcPr>
            <w:tcW w:type="dxa" w:w="2592"/>
            <w:shd w:fill="F1F8E9"/>
            <w:tcMar>
              <w:top w:w="120" w:type="dxa"/>
              <w:bottom w:w="120" w:type="dxa"/>
              <w:left w:w="140" w:type="dxa"/>
              <w:right w:w="140" w:type="dxa"/>
            </w:tcMar>
            <w:vAlign w:val="center"/>
          </w:tcPr>
          <w:p>
            <w:pPr>
              <w:jc w:val="center"/>
            </w:pPr>
            <w:r>
              <w:rPr>
                <w:rFonts w:ascii="Calibri" w:hAnsi="Calibri"/>
                <w:b/>
                <w:color w:val="2D3748"/>
                <w:sz w:val="19"/>
              </w:rPr>
              <w:t>Kinalabasan ng Pananim</w:t>
            </w:r>
          </w:p>
        </w:tc>
        <w:tc>
          <w:tcPr>
            <w:tcW w:type="dxa" w:w="3312"/>
            <w:shd w:fill="F1F8E9"/>
            <w:tcMar>
              <w:top w:w="120" w:type="dxa"/>
              <w:bottom w:w="120" w:type="dxa"/>
              <w:left w:w="140" w:type="dxa"/>
              <w:right w:w="140" w:type="dxa"/>
            </w:tcMar>
            <w:vAlign w:val="center"/>
          </w:tcPr>
          <w:p>
            <w:pPr>
              <w:jc w:val="left"/>
            </w:pPr>
            <w:r>
              <w:rPr>
                <w:rFonts w:ascii="Calibri" w:hAnsi="Calibri"/>
                <w:color w:val="2D3748"/>
                <w:sz w:val="19"/>
              </w:rPr>
              <w:t>Nabuhay, lumago, at namunga nang marami</w:t>
            </w:r>
          </w:p>
        </w:tc>
        <w:tc>
          <w:tcPr>
            <w:tcW w:type="dxa" w:w="3456"/>
            <w:shd w:fill="F1F8E9"/>
            <w:tcMar>
              <w:top w:w="120" w:type="dxa"/>
              <w:bottom w:w="120" w:type="dxa"/>
              <w:left w:w="140" w:type="dxa"/>
              <w:right w:w="140" w:type="dxa"/>
            </w:tcMar>
            <w:vAlign w:val="center"/>
          </w:tcPr>
          <w:p>
            <w:pPr>
              <w:jc w:val="left"/>
            </w:pPr>
            <w:r>
              <w:rPr>
                <w:rFonts w:ascii="Calibri" w:hAnsi="Calibri"/>
                <w:color w:val="2D3748"/>
                <w:sz w:val="19"/>
              </w:rPr>
              <w:t>Nalanta at namatay dahil walang ugat</w:t>
            </w:r>
          </w:p>
        </w:tc>
      </w:tr>
      <w:tr>
        <w:tc>
          <w:tcPr>
            <w:tcW w:type="dxa" w:w="2592"/>
            <w:shd w:fill="FFFFFF"/>
            <w:tcMar>
              <w:top w:w="120" w:type="dxa"/>
              <w:bottom w:w="120" w:type="dxa"/>
              <w:left w:w="140" w:type="dxa"/>
              <w:right w:w="140" w:type="dxa"/>
            </w:tcMar>
            <w:vAlign w:val="center"/>
          </w:tcPr>
          <w:p>
            <w:pPr>
              <w:jc w:val="center"/>
            </w:pPr>
            <w:r>
              <w:rPr>
                <w:rFonts w:ascii="Calibri" w:hAnsi="Calibri"/>
                <w:b/>
                <w:color w:val="2D3748"/>
                <w:sz w:val="19"/>
              </w:rPr>
              <w:t>Simbolismo sa Lipunan</w:t>
            </w:r>
          </w:p>
        </w:tc>
        <w:tc>
          <w:tcPr>
            <w:tcW w:type="dxa" w:w="3312"/>
            <w:shd w:fill="FFFFFF"/>
            <w:tcMar>
              <w:top w:w="120" w:type="dxa"/>
              <w:bottom w:w="120" w:type="dxa"/>
              <w:left w:w="140" w:type="dxa"/>
              <w:right w:w="140" w:type="dxa"/>
            </w:tcMar>
            <w:vAlign w:val="center"/>
          </w:tcPr>
          <w:p>
            <w:pPr>
              <w:jc w:val="left"/>
            </w:pPr>
            <w:r>
              <w:rPr>
                <w:rFonts w:ascii="Calibri" w:hAnsi="Calibri"/>
                <w:color w:val="2D3748"/>
                <w:sz w:val="19"/>
              </w:rPr>
              <w:t>Ang masa o mga inaapi na gumagamit ng talino upang mabuhay</w:t>
            </w:r>
          </w:p>
        </w:tc>
        <w:tc>
          <w:tcPr>
            <w:tcW w:type="dxa" w:w="3456"/>
            <w:shd w:fill="FFFFFF"/>
            <w:tcMar>
              <w:top w:w="120" w:type="dxa"/>
              <w:bottom w:w="120" w:type="dxa"/>
              <w:left w:w="140" w:type="dxa"/>
              <w:right w:w="140" w:type="dxa"/>
            </w:tcMar>
            <w:vAlign w:val="center"/>
          </w:tcPr>
          <w:p>
            <w:pPr>
              <w:jc w:val="left"/>
            </w:pPr>
            <w:r>
              <w:rPr>
                <w:rFonts w:ascii="Calibri" w:hAnsi="Calibri"/>
                <w:color w:val="2D3748"/>
                <w:sz w:val="19"/>
              </w:rPr>
              <w:t>Ang mga mapagsamantala o may kapangyarihan na nadadaig ng sariling kasakiman</w:t>
            </w:r>
          </w:p>
        </w:tc>
      </w:tr>
    </w:tbl>
    <w:p>
      <w:pPr>
        <w:spacing w:after="240"/>
      </w:pPr>
    </w:p>
    <w:p>
      <w:pPr>
        <w:pStyle w:val="Heading1"/>
        <w:keepNext/>
        <w:spacing w:before="360" w:after="120"/>
      </w:pPr>
      <w:r>
        <w:rPr>
          <w:rFonts w:ascii="Georgia" w:hAnsi="Georgia"/>
          <w:b/>
          <w:color w:val="2E7D32"/>
          <w:sz w:val="32"/>
        </w:rPr>
        <w:t>4. Mga Mahalagang Aral ng Pabula</w:t>
      </w:r>
    </w:p>
    <w:p>
      <w:pPr>
        <w:pStyle w:val="ListBullet"/>
        <w:spacing w:after="80"/>
      </w:pPr>
      <w:r>
        <w:rPr>
          <w:rFonts w:ascii="Calibri" w:hAnsi="Calibri"/>
          <w:b/>
          <w:color w:val="2E7D32"/>
          <w:sz w:val="22"/>
        </w:rPr>
        <w:t xml:space="preserve">Ang Katalinuhan laban sa Lakas: </w:t>
      </w:r>
      <w:r>
        <w:rPr>
          <w:rFonts w:ascii="Calibri" w:hAnsi="Calibri"/>
          <w:color w:val="2D3748"/>
          <w:sz w:val="22"/>
        </w:rPr>
        <w:t>Ipinapakita ng kuwento na ang pisikal na lakas o kapangyarihan (Matsing) ay madaling magapi ng tamang pag-iisip at diskarte (Pagong).</w:t>
      </w:r>
    </w:p>
    <w:p>
      <w:pPr>
        <w:pStyle w:val="ListBullet"/>
        <w:spacing w:after="80"/>
      </w:pPr>
      <w:r>
        <w:rPr>
          <w:rFonts w:ascii="Calibri" w:hAnsi="Calibri"/>
          <w:b/>
          <w:color w:val="2E7D32"/>
          <w:sz w:val="22"/>
        </w:rPr>
        <w:t xml:space="preserve">Bunga ng Kasakiman: </w:t>
      </w:r>
      <w:r>
        <w:rPr>
          <w:rFonts w:ascii="Calibri" w:hAnsi="Calibri"/>
          <w:color w:val="2D3748"/>
          <w:sz w:val="22"/>
        </w:rPr>
        <w:t>Ang taong naghahangad ng labis at nanlalamang sa kapwa ay madalas na nawawalan ng lahat sa huli. Ang pagpili ni Matsing sa madahong bahagi ay simbolo ng panandaliang pakinabang.</w:t>
      </w:r>
    </w:p>
    <w:p>
      <w:pPr>
        <w:pStyle w:val="ListBullet"/>
        <w:spacing w:after="80"/>
      </w:pPr>
      <w:r>
        <w:rPr>
          <w:rFonts w:ascii="Calibri" w:hAnsi="Calibri"/>
          <w:b/>
          <w:color w:val="2E7D32"/>
          <w:sz w:val="22"/>
        </w:rPr>
        <w:t xml:space="preserve">Pagpapahalaga sa Roots (Ugat): </w:t>
      </w:r>
      <w:r>
        <w:rPr>
          <w:rFonts w:ascii="Calibri" w:hAnsi="Calibri"/>
          <w:color w:val="2D3748"/>
          <w:sz w:val="22"/>
        </w:rPr>
        <w:t>Ang pagpili ni Pagong sa ugat ay nagtuturo ng kahalagahan ng pasensya, pundasyon, at pangmatagalang pananaw sa buhay.</w:t>
      </w:r>
    </w:p>
    <w:p>
      <w:pPr>
        <w:spacing w:after="160"/>
      </w:pPr>
    </w:p>
    <w:tbl>
      <w:tblPr>
        <w:tblW w:type="auto" w:w="0"/>
        <w:tblLook w:firstColumn="1" w:firstRow="1" w:lastColumn="0" w:lastRow="0" w:noHBand="0" w:noVBand="1" w:val="04A0"/>
      </w:tblPr>
      <w:tblGrid>
        <w:gridCol w:w="9360"/>
      </w:tblGrid>
      <w:tr>
        <w:tc>
          <w:tcPr>
            <w:tcW w:type="dxa" w:w="9360"/>
            <w:shd w:fill="F1F8E9"/>
            <w:tcMar>
              <w:top w:w="160" w:type="dxa"/>
              <w:bottom w:w="160" w:type="dxa"/>
              <w:left w:w="200" w:type="dxa"/>
              <w:right w:w="200" w:type="dxa"/>
            </w:tcMar>
            <w:tcBorders>
              <w:left w:val="single" w:sz="36" w:space="0" w:color="2E7D32"/>
              <w:top w:val="none"/>
              <w:right w:val="none"/>
              <w:bottom w:val="none"/>
            </w:tcBorders>
          </w:tcPr>
          <w:p>
            <w:pPr>
              <w:spacing w:after="0"/>
            </w:pPr>
            <w:r>
              <w:rPr>
                <w:rFonts w:ascii="Calibri" w:hAnsi="Calibri"/>
                <w:b/>
                <w:color w:val="2E7D32"/>
                <w:sz w:val="20"/>
              </w:rPr>
              <w:t xml:space="preserve">Pagninilay: </w:t>
            </w:r>
            <w:r>
              <w:rPr>
                <w:rFonts w:ascii="Calibri" w:hAnsi="Calibri"/>
                <w:i/>
                <w:color w:val="2D3748"/>
                <w:sz w:val="20"/>
              </w:rPr>
              <w:t>Sa makabagong panahon, nagsisilbing paalala ang pabula na ang tunay na tagumpay ay hindi nakukuha sa mabilisang paraan o sa panlalamang, kundi sa malalim na pagpupursigi at malinis na hangarin.</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F8C8D"/>
        <w:sz w:val="18"/>
      </w:rPr>
      <w:t xml:space="preserve">Pagsusuri: Si Pagong at Matsing | Pahina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