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The Environmental Effects of Artificial Intelligence</w:t>
      </w:r>
    </w:p>
    <w:p>
      <w:pPr>
        <w:spacing w:after="2000" w:before="200"/>
      </w:pPr>
      <w:r>
        <w:rPr>
          <w:i/>
          <w:iCs/>
          <w:color w:val="4D4D4D"/>
          <w:sz w:val="28"/>
          <w:szCs w:val="28"/>
        </w:rPr>
        <w:t xml:space="preserve">A Research Overview of Costs, Benefits, and the Path Forward</w:t>
      </w:r>
    </w:p>
    <w:p>
      <w:pPr>
        <w:pBdr>
          <w:top w:val="single" w:color="1F4E3D" w:sz="6" w:space="8"/>
        </w:pBdr>
        <w:spacing w:before="4000"/>
      </w:pPr>
      <w:r>
        <w:rPr>
          <w:color w:val="4D4D4D"/>
          <w:sz w:val="22"/>
          <w:szCs w:val="22"/>
        </w:rPr>
        <w:t xml:space="preserve">Prepared by Claude</w:t>
      </w:r>
    </w:p>
    <w:p>
      <w:r>
        <w:rPr>
          <w:color w:val="4D4D4D"/>
          <w:sz w:val="22"/>
          <w:szCs w:val="22"/>
        </w:rPr>
        <w:t xml:space="preserve">June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60"/>
        <w:jc w:val="both"/>
      </w:pPr>
      <w:r>
        <w:rPr>
          <w:sz w:val="22"/>
          <w:szCs w:val="22"/>
        </w:rPr>
        <w:t xml:space="preserve">Artificial intelligence is reshaping industries, scientific research, and daily life, but this growth carries a significant and rapidly increasing environmental footprint. Training and running large AI models consumes substantial electricity, often drawn from grids still reliant on fossil fuels; data centers require large volumes of water for cooling; and the hardware underpinning AI systems contributes to electronic waste and resource extraction pressures. At the same time, AI is increasingly used as a tool to address environmental challenges, from optimizing energy grids to accelerating climate science and improving conservation efforts.</w:t>
      </w:r>
    </w:p>
    <w:p>
      <w:pPr>
        <w:spacing w:after="160"/>
        <w:jc w:val="both"/>
      </w:pPr>
      <w:r>
        <w:rPr>
          <w:sz w:val="22"/>
          <w:szCs w:val="22"/>
        </w:rPr>
        <w:t xml:space="preserve">This report summarizes the principal environmental costs associated with AI, examines emerging mitigation strategies, and reviews the ways AI is being deployed in service of sustainability. The overall picture is one of trade-offs: AI is neither uniformly harmful nor uniformly beneficial to the environment, and its net impact will depend heavily on how it is built, powered, and applied in the years ahead.</w:t>
      </w:r>
    </w:p>
    <w:p>
      <w:pPr>
        <w:pStyle w:val="Heading1"/>
      </w:pPr>
      <w:r>
        <w:t xml:space="preserve">1. Energy Consumption and Carbon Emissions</w:t>
      </w:r>
    </w:p>
    <w:p>
      <w:pPr>
        <w:spacing w:after="160"/>
        <w:jc w:val="both"/>
      </w:pPr>
      <w:r>
        <w:rPr>
          <w:sz w:val="22"/>
          <w:szCs w:val="22"/>
        </w:rPr>
        <w:t xml:space="preserve">The most widely documented environmental cost of AI is its electricity demand. Training large-scale models, particularly large language models and other deep neural networks, requires running thousands of specialized processors (GPUs and TPUs) continuously for days, weeks, or months. Inference, the process of running a trained model to answer queries or generate content, is typically less energy-intensive per request than training, but at global scale the cumulative demand from billions of daily queries has become a major contributor to data center electricity use.</w:t>
      </w:r>
    </w:p>
    <w:p>
      <w:pPr>
        <w:pStyle w:val="Heading2"/>
      </w:pPr>
      <w:r>
        <w:t xml:space="preserve">1.1 Data Center Growth</w:t>
      </w:r>
    </w:p>
    <w:p>
      <w:pPr>
        <w:spacing w:after="160"/>
        <w:jc w:val="both"/>
      </w:pPr>
      <w:r>
        <w:rPr>
          <w:sz w:val="22"/>
          <w:szCs w:val="22"/>
        </w:rPr>
        <w:t xml:space="preserve">Data centers that house AI infrastructure already account for a meaningful and growing share of global electricity consumption. Analyses from organizations such as the International Energy Agency have projected that data center electricity demand could roughly double within the latter half of this decade, with AI-specific workloads identified as the fastest-growing segment of that demand. This growth is driven both by larger models and by the proliferation of AI-enabled products across consumer and enterprise software.</w:t>
      </w:r>
    </w:p>
    <w:p>
      <w:pPr>
        <w:pStyle w:val="Heading2"/>
      </w:pPr>
      <w:r>
        <w:t xml:space="preserve">1.2 Carbon Intensity</w:t>
      </w:r>
    </w:p>
    <w:p>
      <w:pPr>
        <w:spacing w:after="160"/>
        <w:jc w:val="both"/>
      </w:pPr>
      <w:r>
        <w:rPr>
          <w:sz w:val="22"/>
          <w:szCs w:val="22"/>
        </w:rPr>
        <w:t xml:space="preserve">The carbon impact of this electricity use depends heavily on the energy mix of the grid supplying a given data center. A facility powered predominantly by coal or natural gas generates substantially more emissions per unit of compute than one powered by hydroelectric, nuclear, wind, or solar energy. Several major technology companies have responded by signing long-term renewable energy contracts and, more recently, agreements for nuclear and advanced geothermal power specifically to supply AI data centers, though the timeline for bringing new clean capacity online often lags behind the pace of AI infrastructure buildout.</w:t>
      </w:r>
    </w:p>
    <w:p>
      <w:pPr>
        <w:pStyle w:val="Heading2"/>
      </w:pPr>
      <w:r>
        <w:t xml:space="preserve">1.3 Embodied Emissions from Hardware</w:t>
      </w:r>
    </w:p>
    <w:p>
      <w:pPr>
        <w:spacing w:after="160"/>
        <w:jc w:val="both"/>
      </w:pPr>
      <w:r>
        <w:rPr>
          <w:sz w:val="22"/>
          <w:szCs w:val="22"/>
        </w:rPr>
        <w:t xml:space="preserve">Beyond operational electricity, manufacturing the specialized chips that power AI systems is itself energy- and resource-intensive. Semiconductor fabrication requires high-purity materials, large quantities of ultrapure water, and energy-intensive cleanroom processes, all of which carry their own carbon and resource footprints that are sometimes excluded from headline AI energy estimates.</w:t>
      </w:r>
    </w:p>
    <w:p>
      <w:pPr>
        <w:pStyle w:val="Heading1"/>
      </w:pPr>
      <w:r>
        <w:t xml:space="preserve">2. Water Usage</w:t>
      </w:r>
    </w:p>
    <w:p>
      <w:pPr>
        <w:spacing w:after="160"/>
        <w:jc w:val="both"/>
      </w:pPr>
      <w:r>
        <w:rPr>
          <w:sz w:val="22"/>
          <w:szCs w:val="22"/>
        </w:rPr>
        <w:t xml:space="preserve">Data centers consume water both directly, for evaporative cooling systems that prevent servers from overheating, and indirectly, through the water used to generate the electricity that powers them. Some large AI training runs and data center campuses have been estimated to use hundreds of thousands to millions of gallons of water over the course of major training operations or daily operations at scale.</w:t>
      </w:r>
    </w:p>
    <w:p>
      <w:pPr>
        <w:spacing w:after="160"/>
        <w:jc w:val="both"/>
      </w:pPr>
      <w:r>
        <w:rPr>
          <w:sz w:val="22"/>
          <w:szCs w:val="22"/>
        </w:rPr>
        <w:t xml:space="preserve">Water stress is not evenly distributed. Many data centers are sited in water-scarce regions, drawn there by land availability, tax incentives, or proximity to fiber infrastructure, which can place AI-related water demand into direct competition with agricultural and municipal needs. In response, some operators have shifted toward air-cooling or closed-loop liquid cooling systems that recycle water rather than consuming it through evaporation, and several companies have committed to water-positive operations in water-stressed locations.</w:t>
      </w:r>
    </w:p>
    <w:p>
      <w:pPr>
        <w:pStyle w:val="Heading1"/>
      </w:pPr>
      <w:r>
        <w:t xml:space="preserve">3. Electronic Waste and Resource Extraction</w:t>
      </w:r>
    </w:p>
    <w:p>
      <w:pPr>
        <w:spacing w:after="160"/>
        <w:jc w:val="both"/>
      </w:pPr>
      <w:r>
        <w:rPr>
          <w:sz w:val="22"/>
          <w:szCs w:val="22"/>
        </w:rPr>
        <w:t xml:space="preserve">The hardware lifecycle behind AI also generates environmental costs. GPUs and other AI accelerators have a finite operational lifespan, often shortened by the rapid pace of hardware generational improvement, which can lead organizations to retire still-functional equipment early to access performance or efficiency gains. This contributes to a growing global electronic waste stream, much of which is not properly recycled and can release hazardous materials such as lead, mercury, and flame retardants into soil and waterways.</w:t>
      </w:r>
    </w:p>
    <w:p>
      <w:pPr>
        <w:spacing w:after="160"/>
        <w:jc w:val="both"/>
      </w:pPr>
      <w:r>
        <w:rPr>
          <w:sz w:val="22"/>
          <w:szCs w:val="22"/>
        </w:rPr>
        <w:t xml:space="preserve">Manufacturing this hardware also depends on mined materials, including rare earth elements, cobalt, and lithium used in some power-related infrastructure, which carry well-documented extraction-related environmental and social impacts in some producing regions.</w:t>
      </w:r>
    </w:p>
    <w:p>
      <w:pPr>
        <w:pStyle w:val="Heading1"/>
      </w:pPr>
      <w:r>
        <w:t xml:space="preserve">4. AI as an Environmental Solution</w:t>
      </w:r>
    </w:p>
    <w:p>
      <w:pPr>
        <w:spacing w:after="160"/>
        <w:jc w:val="both"/>
      </w:pPr>
      <w:r>
        <w:rPr>
          <w:sz w:val="22"/>
          <w:szCs w:val="22"/>
        </w:rPr>
        <w:t xml:space="preserve">Set against these costs, AI is also a significant tool for environmental research and resource efficiency. Several application areas illustrate this dual role.</w:t>
      </w:r>
    </w:p>
    <w:p>
      <w:pPr>
        <w:pStyle w:val="Heading2"/>
      </w:pPr>
      <w:r>
        <w:t xml:space="preserve">4.1 Climate Science and Forecasting</w:t>
      </w:r>
    </w:p>
    <w:p>
      <w:pPr>
        <w:spacing w:after="160"/>
        <w:jc w:val="both"/>
      </w:pPr>
      <w:r>
        <w:rPr>
          <w:sz w:val="22"/>
          <w:szCs w:val="22"/>
        </w:rPr>
        <w:t xml:space="preserve">Machine learning models now contribute to weather forecasting, climate modeling, and extreme weather prediction, in some cases matching or exceeding the accuracy of traditional physics-based models while running with a fraction of the computational cost. This has improved early warning systems for floods, storms, and wildfires.</w:t>
      </w:r>
    </w:p>
    <w:p>
      <w:pPr>
        <w:pStyle w:val="Heading2"/>
      </w:pPr>
      <w:r>
        <w:t xml:space="preserve">4.2 Energy and Grid Optimization</w:t>
      </w:r>
    </w:p>
    <w:p>
      <w:pPr>
        <w:spacing w:after="160"/>
        <w:jc w:val="both"/>
      </w:pPr>
      <w:r>
        <w:rPr>
          <w:sz w:val="22"/>
          <w:szCs w:val="22"/>
        </w:rPr>
        <w:t xml:space="preserve">AI systems are used to balance electricity grids, forecast renewable energy supply and demand, and optimize the operation of wind and solar farms. AI-driven cooling optimization has also been used within data centers themselves, with some operators reporting meaningful reductions in cooling energy use after deploying machine learning control systems.</w:t>
      </w:r>
    </w:p>
    <w:p>
      <w:pPr>
        <w:pStyle w:val="Heading2"/>
      </w:pPr>
      <w:r>
        <w:t xml:space="preserve">4.3 Conservation and Environmental Monitoring</w:t>
      </w:r>
    </w:p>
    <w:p>
      <w:pPr>
        <w:spacing w:after="160"/>
        <w:jc w:val="both"/>
      </w:pPr>
      <w:r>
        <w:rPr>
          <w:sz w:val="22"/>
          <w:szCs w:val="22"/>
        </w:rPr>
        <w:t xml:space="preserve">Computer vision and pattern recognition tools support wildlife population tracking, deforestation detection via satellite imagery, illegal fishing and poaching detection, and precision agriculture techniques that reduce water and fertilizer use. These applications can generate environmental benefits that, in some cases, are difficult to achieve at comparable cost or speed through non-AI methods.</w:t>
      </w:r>
    </w:p>
    <w:p>
      <w:pPr>
        <w:pStyle w:val="Heading2"/>
      </w:pPr>
      <w:r>
        <w:t xml:space="preserve">4.4 Materials Science and Industrial Efficiency</w:t>
      </w:r>
    </w:p>
    <w:p>
      <w:pPr>
        <w:spacing w:after="160"/>
        <w:jc w:val="both"/>
      </w:pPr>
      <w:r>
        <w:rPr>
          <w:sz w:val="22"/>
          <w:szCs w:val="22"/>
        </w:rPr>
        <w:t xml:space="preserve">AI-assisted simulation is accelerating the discovery of new battery chemistries, catalysts, and carbon capture materials, while also helping manufacturers identify efficiency gains in industrial processes that reduce energy and material waste.</w:t>
      </w:r>
    </w:p>
    <w:p>
      <w:pPr>
        <w:pStyle w:val="Heading1"/>
      </w:pPr>
      <w:r>
        <w:t xml:space="preserve">5. Summary of Impacts at a Glance</w:t>
      </w:r>
    </w:p>
    <w:p>
      <w:pPr>
        <w:spacing w:after="160"/>
        <w:jc w:val="both"/>
      </w:pPr>
      <w:r>
        <w:rPr>
          <w:sz w:val="22"/>
          <w:szCs w:val="22"/>
        </w:rPr>
        <w:t xml:space="preserve">The table below summarizes the principal environmental dimensions discussed in this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4E3D" w:val="clear"/>
            <w:tcMar>
              <w:top w:type="dxa" w:w="100"/>
              <w:left w:type="dxa" w:w="120"/>
              <w:bottom w:type="dxa" w:w="100"/>
              <w:right w:type="dxa" w:w="120"/>
            </w:tcMar>
            <w:vAlign w:val="center"/>
          </w:tcPr>
          <w:p>
            <w:r>
              <w:rPr>
                <w:b/>
                <w:bCs/>
                <w:color w:val="FFFFFF"/>
                <w:sz w:val="21"/>
                <w:szCs w:val="21"/>
              </w:rPr>
              <w:t xml:space="preserve">Dimension</w:t>
            </w:r>
          </w:p>
        </w:tc>
        <w:tc>
          <w:tcPr>
            <w:tcW w:type="dxa" w:w="3480"/>
            <w:tcBorders>
              <w:top w:val="single" w:color="CCCCCC" w:sz="1"/>
              <w:left w:val="single" w:color="CCCCCC" w:sz="1"/>
              <w:bottom w:val="single" w:color="CCCCCC" w:sz="1"/>
              <w:right w:val="single" w:color="CCCCCC" w:sz="1"/>
            </w:tcBorders>
            <w:shd w:fill="1F4E3D" w:val="clear"/>
            <w:tcMar>
              <w:top w:type="dxa" w:w="100"/>
              <w:left w:type="dxa" w:w="120"/>
              <w:bottom w:type="dxa" w:w="100"/>
              <w:right w:type="dxa" w:w="120"/>
            </w:tcMar>
            <w:vAlign w:val="center"/>
          </w:tcPr>
          <w:p>
            <w:r>
              <w:rPr>
                <w:b/>
                <w:bCs/>
                <w:color w:val="FFFFFF"/>
                <w:sz w:val="21"/>
                <w:szCs w:val="21"/>
              </w:rPr>
              <w:t xml:space="preserve">Primary Cost</w:t>
            </w:r>
          </w:p>
        </w:tc>
        <w:tc>
          <w:tcPr>
            <w:tcW w:type="dxa" w:w="3480"/>
            <w:tcBorders>
              <w:top w:val="single" w:color="CCCCCC" w:sz="1"/>
              <w:left w:val="single" w:color="CCCCCC" w:sz="1"/>
              <w:bottom w:val="single" w:color="CCCCCC" w:sz="1"/>
              <w:right w:val="single" w:color="CCCCCC" w:sz="1"/>
            </w:tcBorders>
            <w:shd w:fill="1F4E3D" w:val="clear"/>
            <w:tcMar>
              <w:top w:type="dxa" w:w="100"/>
              <w:left w:type="dxa" w:w="120"/>
              <w:bottom w:type="dxa" w:w="100"/>
              <w:right w:type="dxa" w:w="120"/>
            </w:tcMar>
            <w:vAlign w:val="center"/>
          </w:tcPr>
          <w:p>
            <w:r>
              <w:rPr>
                <w:b/>
                <w:bCs/>
                <w:color w:val="FFFFFF"/>
                <w:sz w:val="21"/>
                <w:szCs w:val="21"/>
              </w:rPr>
              <w:t xml:space="preserve">Primary AI-Enabled Benefit</w:t>
            </w:r>
          </w:p>
        </w:tc>
      </w:tr>
      <w:tr>
        <w:tc>
          <w:tcPr>
            <w:tcW w:type="dxa" w:w="2400"/>
            <w:tcBorders>
              <w:top w:val="single" w:color="CCCCCC" w:sz="1"/>
              <w:left w:val="single" w:color="CCCCCC" w:sz="1"/>
              <w:bottom w:val="single" w:color="CCCCCC" w:sz="1"/>
              <w:right w:val="single" w:color="CCCCCC" w:sz="1"/>
            </w:tcBorders>
            <w:shd w:fill="F2F7F4" w:val="clear"/>
            <w:tcMar>
              <w:top w:type="dxa" w:w="100"/>
              <w:left w:type="dxa" w:w="120"/>
              <w:bottom w:type="dxa" w:w="100"/>
              <w:right w:type="dxa" w:w="120"/>
            </w:tcMar>
            <w:vAlign w:val="center"/>
          </w:tcPr>
          <w:p>
            <w:r>
              <w:rPr>
                <w:sz w:val="21"/>
                <w:szCs w:val="21"/>
              </w:rPr>
              <w:t xml:space="preserve">Electricity &amp; carbon</w:t>
            </w:r>
          </w:p>
        </w:tc>
        <w:tc>
          <w:tcPr>
            <w:tcW w:type="dxa" w:w="3480"/>
            <w:tcBorders>
              <w:top w:val="single" w:color="CCCCCC" w:sz="1"/>
              <w:left w:val="single" w:color="CCCCCC" w:sz="1"/>
              <w:bottom w:val="single" w:color="CCCCCC" w:sz="1"/>
              <w:right w:val="single" w:color="CCCCCC" w:sz="1"/>
            </w:tcBorders>
            <w:shd w:fill="F2F7F4" w:val="clear"/>
            <w:tcMar>
              <w:top w:type="dxa" w:w="100"/>
              <w:left w:type="dxa" w:w="120"/>
              <w:bottom w:type="dxa" w:w="100"/>
              <w:right w:type="dxa" w:w="120"/>
            </w:tcMar>
            <w:vAlign w:val="center"/>
          </w:tcPr>
          <w:p>
            <w:r>
              <w:rPr>
                <w:sz w:val="21"/>
                <w:szCs w:val="21"/>
              </w:rPr>
              <w:t xml:space="preserve">Rising data center demand, often grid-dependent emissions</w:t>
            </w:r>
          </w:p>
        </w:tc>
        <w:tc>
          <w:tcPr>
            <w:tcW w:type="dxa" w:w="3480"/>
            <w:tcBorders>
              <w:top w:val="single" w:color="CCCCCC" w:sz="1"/>
              <w:left w:val="single" w:color="CCCCCC" w:sz="1"/>
              <w:bottom w:val="single" w:color="CCCCCC" w:sz="1"/>
              <w:right w:val="single" w:color="CCCCCC" w:sz="1"/>
            </w:tcBorders>
            <w:shd w:fill="F2F7F4" w:val="clear"/>
            <w:tcMar>
              <w:top w:type="dxa" w:w="100"/>
              <w:left w:type="dxa" w:w="120"/>
              <w:bottom w:type="dxa" w:w="100"/>
              <w:right w:type="dxa" w:w="120"/>
            </w:tcMar>
            <w:vAlign w:val="center"/>
          </w:tcPr>
          <w:p>
            <w:r>
              <w:rPr>
                <w:sz w:val="21"/>
                <w:szCs w:val="21"/>
              </w:rPr>
              <w:t xml:space="preserve">Grid balancing, renewable forecasting, efficiency gains</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sz w:val="21"/>
                <w:szCs w:val="21"/>
              </w:rPr>
              <w:t xml:space="preserve">Water</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sz w:val="21"/>
                <w:szCs w:val="21"/>
              </w:rPr>
              <w:t xml:space="preserve">Cooling consumption, regional water stress</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sz w:val="21"/>
                <w:szCs w:val="21"/>
              </w:rPr>
              <w:t xml:space="preserve">Precision agriculture, water-use optimization</w:t>
            </w:r>
          </w:p>
        </w:tc>
      </w:tr>
      <w:tr>
        <w:tc>
          <w:tcPr>
            <w:tcW w:type="dxa" w:w="2400"/>
            <w:tcBorders>
              <w:top w:val="single" w:color="CCCCCC" w:sz="1"/>
              <w:left w:val="single" w:color="CCCCCC" w:sz="1"/>
              <w:bottom w:val="single" w:color="CCCCCC" w:sz="1"/>
              <w:right w:val="single" w:color="CCCCCC" w:sz="1"/>
            </w:tcBorders>
            <w:shd w:fill="F2F7F4" w:val="clear"/>
            <w:tcMar>
              <w:top w:type="dxa" w:w="100"/>
              <w:left w:type="dxa" w:w="120"/>
              <w:bottom w:type="dxa" w:w="100"/>
              <w:right w:type="dxa" w:w="120"/>
            </w:tcMar>
            <w:vAlign w:val="center"/>
          </w:tcPr>
          <w:p>
            <w:r>
              <w:rPr>
                <w:sz w:val="21"/>
                <w:szCs w:val="21"/>
              </w:rPr>
              <w:t xml:space="preserve">Hardware &amp; materials</w:t>
            </w:r>
          </w:p>
        </w:tc>
        <w:tc>
          <w:tcPr>
            <w:tcW w:type="dxa" w:w="3480"/>
            <w:tcBorders>
              <w:top w:val="single" w:color="CCCCCC" w:sz="1"/>
              <w:left w:val="single" w:color="CCCCCC" w:sz="1"/>
              <w:bottom w:val="single" w:color="CCCCCC" w:sz="1"/>
              <w:right w:val="single" w:color="CCCCCC" w:sz="1"/>
            </w:tcBorders>
            <w:shd w:fill="F2F7F4" w:val="clear"/>
            <w:tcMar>
              <w:top w:type="dxa" w:w="100"/>
              <w:left w:type="dxa" w:w="120"/>
              <w:bottom w:type="dxa" w:w="100"/>
              <w:right w:type="dxa" w:w="120"/>
            </w:tcMar>
            <w:vAlign w:val="center"/>
          </w:tcPr>
          <w:p>
            <w:r>
              <w:rPr>
                <w:sz w:val="21"/>
                <w:szCs w:val="21"/>
              </w:rPr>
              <w:t xml:space="preserve">E-waste, rare-mineral extraction, chip fabrication footprint</w:t>
            </w:r>
          </w:p>
        </w:tc>
        <w:tc>
          <w:tcPr>
            <w:tcW w:type="dxa" w:w="3480"/>
            <w:tcBorders>
              <w:top w:val="single" w:color="CCCCCC" w:sz="1"/>
              <w:left w:val="single" w:color="CCCCCC" w:sz="1"/>
              <w:bottom w:val="single" w:color="CCCCCC" w:sz="1"/>
              <w:right w:val="single" w:color="CCCCCC" w:sz="1"/>
            </w:tcBorders>
            <w:shd w:fill="F2F7F4" w:val="clear"/>
            <w:tcMar>
              <w:top w:type="dxa" w:w="100"/>
              <w:left w:type="dxa" w:w="120"/>
              <w:bottom w:type="dxa" w:w="100"/>
              <w:right w:type="dxa" w:w="120"/>
            </w:tcMar>
            <w:vAlign w:val="center"/>
          </w:tcPr>
          <w:p>
            <w:r>
              <w:rPr>
                <w:sz w:val="21"/>
                <w:szCs w:val="21"/>
              </w:rPr>
              <w:t xml:space="preserve">Materials discovery for batteries and carbon capture</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sz w:val="21"/>
                <w:szCs w:val="21"/>
              </w:rPr>
              <w:t xml:space="preserve">Ecosystems &amp; climate</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sz w:val="21"/>
                <w:szCs w:val="21"/>
              </w:rPr>
              <w:t xml:space="preserve">Indirect land and siting pressures from data center growth</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sz w:val="21"/>
                <w:szCs w:val="21"/>
              </w:rPr>
              <w:t xml:space="preserve">Conservation monitoring, climate and weather modeling</w:t>
            </w:r>
          </w:p>
        </w:tc>
      </w:tr>
    </w:tbl>
    <w:p>
      <w:pPr>
        <w:spacing w:before="240"/>
      </w:pPr>
    </w:p>
    <w:p>
      <w:pPr>
        <w:pStyle w:val="Heading1"/>
      </w:pPr>
      <w:r>
        <w:t xml:space="preserve">6. Mitigation Strategies and Outlook</w:t>
      </w:r>
    </w:p>
    <w:p>
      <w:pPr>
        <w:spacing w:after="160"/>
        <w:jc w:val="both"/>
      </w:pPr>
      <w:r>
        <w:rPr>
          <w:sz w:val="22"/>
          <w:szCs w:val="22"/>
        </w:rPr>
        <w:t xml:space="preserve">A number of strategies are emerging to reduce the environmental footprint of AI while preserving its benefits:</w:t>
      </w:r>
    </w:p>
    <w:p>
      <w:pPr>
        <w:pStyle w:val="ListParagraph"/>
        <w:numPr>
          <w:ilvl w:val="0"/>
          <w:numId w:val="2"/>
        </w:numPr>
        <w:spacing w:after="120"/>
      </w:pPr>
      <w:r>
        <w:t xml:space="preserve">Powering data centers with renewable, nuclear, or other low-carbon energy sources, often through dedicated long-term power purchase agreements.</w:t>
      </w:r>
    </w:p>
    <w:p>
      <w:pPr>
        <w:pStyle w:val="ListParagraph"/>
        <w:numPr>
          <w:ilvl w:val="0"/>
          <w:numId w:val="2"/>
        </w:numPr>
        <w:spacing w:after="120"/>
      </w:pPr>
      <w:r>
        <w:t xml:space="preserve">Improving model efficiency through techniques such as smaller specialized models, quantization, and distillation, which can deliver comparable performance with less compute.</w:t>
      </w:r>
    </w:p>
    <w:p>
      <w:pPr>
        <w:pStyle w:val="ListParagraph"/>
        <w:numPr>
          <w:ilvl w:val="0"/>
          <w:numId w:val="2"/>
        </w:numPr>
        <w:spacing w:after="120"/>
      </w:pPr>
      <w:r>
        <w:t xml:space="preserve">Adopting closed-loop and air-based cooling systems to reduce direct water consumption, particularly in water-stressed regions.</w:t>
      </w:r>
    </w:p>
    <w:p>
      <w:pPr>
        <w:pStyle w:val="ListParagraph"/>
        <w:numPr>
          <w:ilvl w:val="0"/>
          <w:numId w:val="2"/>
        </w:numPr>
        <w:spacing w:after="120"/>
      </w:pPr>
      <w:r>
        <w:t xml:space="preserve">Extending hardware lifespans and improving recycling pathways to reduce electronic waste.</w:t>
      </w:r>
    </w:p>
    <w:p>
      <w:pPr>
        <w:pStyle w:val="ListParagraph"/>
        <w:numPr>
          <w:ilvl w:val="0"/>
          <w:numId w:val="2"/>
        </w:numPr>
        <w:spacing w:after="120"/>
      </w:pPr>
      <w:r>
        <w:t xml:space="preserve">Increasing transparency around the energy, water, and carbon footprint of AI training and inference, enabling more informed policy and purchasing decisions.</w:t>
      </w:r>
    </w:p>
    <w:p>
      <w:pPr>
        <w:spacing w:after="160"/>
        <w:jc w:val="both"/>
      </w:pPr>
      <w:r>
        <w:rPr>
          <w:sz w:val="22"/>
          <w:szCs w:val="22"/>
        </w:rPr>
        <w:t xml:space="preserve">The net environmental effect of AI over the coming decade will likely depend less on the technology itself than on the choices made about how it is powered, how efficiently it is built, and how deliberately it is directed toward solving environmental problems alongside commercial ones.</w:t>
      </w:r>
    </w:p>
    <w:p>
      <w:pPr>
        <w:pStyle w:val="Heading1"/>
      </w:pPr>
      <w:r>
        <w:t xml:space="preserve">7. Conclusion</w:t>
      </w:r>
    </w:p>
    <w:p>
      <w:pPr>
        <w:spacing w:after="160"/>
        <w:jc w:val="both"/>
      </w:pPr>
      <w:r>
        <w:rPr>
          <w:sz w:val="22"/>
          <w:szCs w:val="22"/>
        </w:rPr>
        <w:t xml:space="preserve">Artificial intelligence presents a genuine environmental paradox. It is a meaningful and growing contributor to electricity demand, water use, and electronic waste, with impacts that are already visible in stressed power grids and water systems near major data center hubs. At the same time, it is one of the most promising tools available for climate forecasting, energy optimization, conservation, and materials innovation. Sound policy, transparent reporting, and continued investment in clean energy and efficient model design will largely determine whether AI's environmental ledger tips toward net harm or net benefit in the years ahead.</w:t>
      </w:r>
    </w:p>
    <w:p>
      <w:pPr>
        <w:spacing w:before="300"/>
      </w:pPr>
      <w:r>
        <w:rPr>
          <w:b/>
          <w:bCs/>
          <w:i/>
          <w:iCs/>
          <w:color w:val="666666"/>
          <w:sz w:val="20"/>
          <w:szCs w:val="20"/>
        </w:rPr>
        <w:t xml:space="preserve">Note: </w:t>
      </w:r>
      <w:r>
        <w:rPr>
          <w:i/>
          <w:iCs/>
          <w:color w:val="666666"/>
          <w:sz w:val="20"/>
          <w:szCs w:val="20"/>
        </w:rPr>
        <w:t xml:space="preserve">This report draws on general, widely reported research and industry analysis as of the author's knowledge base and is intended as an accessible overview rather than a substitute for primary sources such as IEA, IPCC, or peer-reviewed publications. Given the pace of change in this field, readers seeking the most current figures should consult up-to-date sources directly.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3D" w:sz="6" w:space="4"/>
      </w:pBdr>
      <w:spacing w:after="200" w:before="360"/>
      <w:outlineLvl w:val="0"/>
    </w:pPr>
    <w:rPr>
      <w:rFonts w:ascii="Arial" w:cs="Arial" w:eastAsia="Arial" w:hAnsi="Arial"/>
      <w:b/>
      <w:bCs/>
      <w:color w:val="1F4E3D"/>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6B52"/>
      <w:sz w:val="26"/>
      <w:szCs w:val="26"/>
    </w:rPr>
  </w:style>
  <w:style w:type="paragraph" w:styleId="Title">
    <w:name w:val="Title"/>
    <w:basedOn w:val="Normal"/>
    <w:next w:val="Normal"/>
    <w:qFormat/>
    <w:pPr>
      <w:spacing w:after="120"/>
    </w:pPr>
    <w:rPr>
      <w:rFonts w:ascii="Arial" w:cs="Arial" w:eastAsia="Arial" w:hAnsi="Arial"/>
      <w:b/>
      <w:bCs/>
      <w:color w:val="1F4E3D"/>
      <w:sz w:val="52"/>
      <w:szCs w:val="5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Environmental Effects of Artificial Intelligence</dc:title>
  <dc:creator>Claude</dc:creator>
  <cp:lastModifiedBy>Un-named</cp:lastModifiedBy>
  <cp:revision>1</cp:revision>
  <dcterms:created xsi:type="dcterms:W3CDTF">2026-06-18T08:01:36.938Z</dcterms:created>
  <dcterms:modified xsi:type="dcterms:W3CDTF">2026-06-18T08:01:36.938Z</dcterms:modified>
</cp:coreProperties>
</file>

<file path=docProps/custom.xml><?xml version="1.0" encoding="utf-8"?>
<Properties xmlns="http://schemas.openxmlformats.org/officeDocument/2006/custom-properties" xmlns:vt="http://schemas.openxmlformats.org/officeDocument/2006/docPropsVTypes"/>
</file>