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Previsió del temps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ec6cd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DIL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ec6cd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DIM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ec6cd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DIX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ec6cd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DIJ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ec6cd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DIV</w:t>
            </w:r>
          </w:p>
        </w:tc>
      </w:tr>
      <w:tr>
        <w:trPr>
          <w:cantSplit w:val="0"/>
          <w:tblHeader w:val="0"/>
        </w:trPr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0e0e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29º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0e0e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22º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0e0e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13º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0e0e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12º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0e0e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18º</w:t>
            </w:r>
          </w:p>
        </w:tc>
      </w:tr>
      <w:tr>
        <w:trPr>
          <w:cantSplit w:val="0"/>
          <w:tblHeader w:val="0"/>
        </w:trPr>
        <w:tc>
          <w:tcPr>
            <w:shd w:fill="2639f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12º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39f3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7º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6a5f2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4º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6a5f2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5º</w:t>
            </w:r>
          </w:p>
        </w:tc>
        <w:tc>
          <w:tcPr>
            <w:shd w:fill="a5dcfa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6a5f2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4º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