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3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8"/>
        <w:gridCol w:w="6764"/>
      </w:tblGrid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16655" w:rsidRDefault="00316655" w:rsidP="00BA26A0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Pohádka </w:t>
            </w:r>
            <w:r w:rsidR="00BA26A0">
              <w:rPr>
                <w:rFonts w:ascii="Calibri" w:hAnsi="Calibri"/>
                <w:b/>
                <w:bCs/>
                <w:sz w:val="22"/>
                <w:szCs w:val="22"/>
              </w:rPr>
              <w:t>„O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řepě</w:t>
            </w:r>
            <w:r w:rsidR="00BA26A0">
              <w:rPr>
                <w:rFonts w:ascii="Calibri" w:hAnsi="Calibri"/>
                <w:b/>
                <w:bCs/>
                <w:sz w:val="22"/>
                <w:szCs w:val="22"/>
              </w:rPr>
              <w:t>“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316655">
              <w:rPr>
                <w:rFonts w:ascii="Calibri" w:hAnsi="Calibri"/>
                <w:b/>
                <w:bCs/>
                <w:sz w:val="22"/>
                <w:szCs w:val="22"/>
              </w:rPr>
              <w:t>Сказка</w:t>
            </w:r>
            <w:proofErr w:type="spellEnd"/>
            <w:r w:rsidRPr="00316655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r w:rsidR="00BA26A0">
              <w:rPr>
                <w:rFonts w:ascii="Calibri" w:hAnsi="Calibri"/>
                <w:b/>
                <w:bCs/>
                <w:sz w:val="22"/>
                <w:szCs w:val="22"/>
              </w:rPr>
              <w:t>„</w:t>
            </w:r>
            <w:r w:rsidR="00BA26A0">
              <w:rPr>
                <w:rFonts w:ascii="Calibri" w:hAnsi="Calibri"/>
                <w:b/>
                <w:bCs/>
                <w:sz w:val="22"/>
                <w:szCs w:val="22"/>
                <w:lang w:val="ru-RU"/>
              </w:rPr>
              <w:t>О</w:t>
            </w:r>
            <w:r w:rsidRPr="00316655">
              <w:rPr>
                <w:rFonts w:ascii="Calibri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16655">
              <w:rPr>
                <w:rFonts w:ascii="Calibri" w:hAnsi="Calibri"/>
                <w:b/>
                <w:bCs/>
                <w:sz w:val="22"/>
                <w:szCs w:val="22"/>
              </w:rPr>
              <w:t>репке</w:t>
            </w:r>
            <w:proofErr w:type="spellEnd"/>
            <w:r w:rsidR="00BA26A0">
              <w:rPr>
                <w:rFonts w:ascii="Calibri" w:hAnsi="Calibri"/>
                <w:b/>
                <w:bCs/>
                <w:sz w:val="22"/>
                <w:szCs w:val="22"/>
              </w:rPr>
              <w:t>“</w:t>
            </w:r>
            <w:r w:rsidRPr="00316655">
              <w:rPr>
                <w:rFonts w:ascii="Calibri" w:hAnsi="Calibri"/>
                <w:b/>
                <w:bCs/>
                <w:sz w:val="22"/>
                <w:szCs w:val="22"/>
              </w:rPr>
              <w:t>)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254A6" w:rsidRDefault="00316655" w:rsidP="00AC3C5E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je zaměřen na rozvoj receptivní řečové dovednosti – čtení. Materiál obsahuje také prvky audiovizuální metody, která byla použita při jeho zpracování. Díky tomu mohou žáci slyšet řeč rodilých mluvčích ruského jazyka.</w:t>
            </w:r>
            <w:r w:rsidR="00CD3719">
              <w:rPr>
                <w:rFonts w:ascii="Calibri" w:hAnsi="Calibri"/>
                <w:sz w:val="22"/>
                <w:szCs w:val="22"/>
              </w:rPr>
              <w:t xml:space="preserve"> Materiál je zpracován ve formě přípravy pro interaktivní tabuli SMART.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Pr="003D1C56" w:rsidRDefault="003254A6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</w:t>
            </w:r>
            <w:r w:rsidR="00316655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4811E3" w:rsidRDefault="00E770AB" w:rsidP="0031665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Žák </w:t>
            </w:r>
            <w:r w:rsidR="00316655">
              <w:rPr>
                <w:rFonts w:ascii="Calibri" w:hAnsi="Calibri"/>
                <w:sz w:val="22"/>
                <w:szCs w:val="22"/>
              </w:rPr>
              <w:t>rozumí přečtenému textu.</w:t>
            </w:r>
          </w:p>
          <w:p w:rsidR="00316655" w:rsidRDefault="00316655" w:rsidP="0031665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foneticky správně přečte text.</w:t>
            </w:r>
          </w:p>
          <w:p w:rsidR="00316655" w:rsidRDefault="00316655" w:rsidP="0031665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zná základní slovní zásobu k tématu rodina.</w:t>
            </w:r>
          </w:p>
          <w:p w:rsidR="00316655" w:rsidRPr="008C4918" w:rsidRDefault="00316655" w:rsidP="00316655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Žák rozumí vyslechnutému textu. (Závisí na způsobu použití materiálu)</w:t>
            </w:r>
          </w:p>
        </w:tc>
      </w:tr>
      <w:tr w:rsidR="00770629" w:rsidRPr="003D1C56" w:rsidTr="003D1C56">
        <w:tc>
          <w:tcPr>
            <w:tcW w:w="2448" w:type="dxa"/>
            <w:shd w:val="clear" w:color="auto" w:fill="auto"/>
          </w:tcPr>
          <w:p w:rsidR="00770629" w:rsidRPr="003D1C56" w:rsidRDefault="00770629" w:rsidP="003D1C56">
            <w:pPr>
              <w:rPr>
                <w:rFonts w:ascii="Calibri" w:hAnsi="Calibri"/>
                <w:sz w:val="22"/>
                <w:szCs w:val="22"/>
              </w:rPr>
            </w:pPr>
            <w:r w:rsidRPr="003D1C56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shd w:val="clear" w:color="auto" w:fill="auto"/>
            <w:vAlign w:val="center"/>
          </w:tcPr>
          <w:p w:rsidR="00770629" w:rsidRDefault="00316655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Materiál obsahuje kreslený film, se kterým je možné pracovat jako s</w:t>
            </w:r>
            <w:r w:rsidR="001A5814">
              <w:rPr>
                <w:rFonts w:ascii="Calibri" w:hAnsi="Calibri"/>
                <w:sz w:val="22"/>
                <w:szCs w:val="22"/>
              </w:rPr>
              <w:t>e zvukovou nahrávkou.</w:t>
            </w:r>
          </w:p>
          <w:p w:rsidR="00316655" w:rsidRPr="00316655" w:rsidRDefault="00316655" w:rsidP="003D1C56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České slovo „babička“ odpovídá ruskému slovu „</w:t>
            </w:r>
            <w:proofErr w:type="spellStart"/>
            <w:r w:rsidRPr="00316655">
              <w:rPr>
                <w:rFonts w:ascii="Calibri" w:hAnsi="Calibri"/>
                <w:sz w:val="22"/>
                <w:szCs w:val="22"/>
              </w:rPr>
              <w:t>бабушка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“. V textu pohádky je použito slovo „</w:t>
            </w:r>
            <w:proofErr w:type="spellStart"/>
            <w:r w:rsidRPr="00316655">
              <w:rPr>
                <w:rFonts w:ascii="Calibri" w:hAnsi="Calibri"/>
                <w:sz w:val="22"/>
                <w:szCs w:val="22"/>
              </w:rPr>
              <w:t>бабка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“, které je zabarvené (má lehce negativní nádech) a pat</w:t>
            </w:r>
            <w:r w:rsidR="001A5814">
              <w:rPr>
                <w:rFonts w:ascii="Calibri" w:hAnsi="Calibri"/>
                <w:sz w:val="22"/>
                <w:szCs w:val="22"/>
              </w:rPr>
              <w:t>ř</w:t>
            </w:r>
            <w:r>
              <w:rPr>
                <w:rFonts w:ascii="Calibri" w:hAnsi="Calibri"/>
                <w:sz w:val="22"/>
                <w:szCs w:val="22"/>
              </w:rPr>
              <w:t>í k hovorovému stylu.</w:t>
            </w:r>
          </w:p>
        </w:tc>
      </w:tr>
    </w:tbl>
    <w:p w:rsidR="00770629" w:rsidRDefault="00770629" w:rsidP="00770629"/>
    <w:p w:rsidR="00770629" w:rsidRPr="00E7513A" w:rsidRDefault="00770629" w:rsidP="00770629">
      <w:pPr>
        <w:jc w:val="both"/>
        <w:rPr>
          <w:rFonts w:ascii="Calibri" w:hAnsi="Calibri"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1. Popis materiálu</w:t>
      </w:r>
    </w:p>
    <w:p w:rsidR="00B045A3" w:rsidRPr="008341AA" w:rsidRDefault="00467F8A" w:rsidP="00467F8A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CD3719">
        <w:rPr>
          <w:rFonts w:ascii="Calibri" w:hAnsi="Calibri"/>
          <w:sz w:val="22"/>
          <w:szCs w:val="22"/>
        </w:rPr>
        <w:t>Materiál je zpracován ve formě přípravy pro interaktivní tabuli SMART. Obsahuje několik částí, které jsou popsány níže. K otevření této přípravy je třeba programové vybavení k interaktivní tabuli této značky.</w:t>
      </w:r>
    </w:p>
    <w:p w:rsidR="00ED4B27" w:rsidRPr="0004772D" w:rsidRDefault="00ED4B27" w:rsidP="006B57D8">
      <w:pPr>
        <w:jc w:val="both"/>
        <w:rPr>
          <w:rFonts w:ascii="Calibri" w:hAnsi="Calibri"/>
          <w:sz w:val="22"/>
          <w:szCs w:val="22"/>
        </w:rPr>
      </w:pPr>
    </w:p>
    <w:p w:rsidR="00770629" w:rsidRDefault="00770629" w:rsidP="00770629">
      <w:pPr>
        <w:jc w:val="both"/>
        <w:rPr>
          <w:rFonts w:ascii="Calibri" w:hAnsi="Calibri"/>
          <w:b/>
          <w:bCs/>
          <w:sz w:val="22"/>
          <w:szCs w:val="22"/>
        </w:rPr>
      </w:pPr>
      <w:r w:rsidRPr="00E7513A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CD3719" w:rsidRPr="002C6563" w:rsidRDefault="00CD3719" w:rsidP="00CD3719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Materiál nabízí video se záznamem pohá</w:t>
      </w:r>
      <w:r w:rsidR="0061012D">
        <w:rPr>
          <w:rFonts w:asciiTheme="minorHAnsi" w:hAnsiTheme="minorHAnsi" w:cstheme="minorHAnsi"/>
          <w:sz w:val="22"/>
          <w:szCs w:val="22"/>
        </w:rPr>
        <w:t>dky O řepě. S videem je možné pracovat dvěma způsoby – bez zvuku nebo se zapnutým zvukem. V případě sledování videa v tichém režimu (tedy bez zvuku) je možné položit žákům otázku, kdo jsou hlavní hrdinové tohoto kresleného filmu. Vzhledem k úrovni žáků (A1) mohou odpovídat česky, pokud ještě neznají daná slova. Cílem cvičení je seznámit žáky s novou slovní zásobou, která se vztahuje k tématu rodina. Druhá varianta – sledování videa se zvukem. Po zhlédnutí žáci rusky pojmenují hrdiny této pohádky. Poté je možné danou slovní zásobu žákům představit ještě jednou v psané podobě (slova jsou zpracována na samostatném snímku v přípravě).</w:t>
      </w:r>
    </w:p>
    <w:p w:rsidR="002C6563" w:rsidRPr="002C6563" w:rsidRDefault="002C6563" w:rsidP="00CD3719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 zopakování (a procvičení hlasitého čtení vč. správné výslovnosti) mohou žáci číst text pohádky. Je vhodné upozornit žáky na výskyt nové slovní zásoby. Případně je možné propojit oba zdroje – sledovat kreslený film s využitím textové opory.</w:t>
      </w:r>
    </w:p>
    <w:p w:rsidR="002C6563" w:rsidRPr="002C6563" w:rsidRDefault="002C6563" w:rsidP="00CD3719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Další cvičení v přípravě je zaměřeno na osvojování nové slovní zásoby. Po kliknutí na slovo v češtině se zobrazí snímek s několika slovy v ruštině, z nichž žáci musí vybrat správný ekvivalent. Toto cvičení napomáhá lepšímu zapamatování slov.</w:t>
      </w:r>
    </w:p>
    <w:p w:rsidR="002C6563" w:rsidRPr="00CD3719" w:rsidRDefault="002C6563" w:rsidP="00CD3719">
      <w:pPr>
        <w:pStyle w:val="Odstavecseseznamem"/>
        <w:numPr>
          <w:ilvl w:val="0"/>
          <w:numId w:val="6"/>
        </w:num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Cílem posledního cvičení je seřadit ve správném pořadí fragmenty kresleného filmu. Cvičení je zaměřeno na rozvoj logického myšlení žáků.</w:t>
      </w:r>
    </w:p>
    <w:p w:rsidR="00A7271F" w:rsidRPr="00CD3719" w:rsidRDefault="00A7271F" w:rsidP="00033222">
      <w:pPr>
        <w:pStyle w:val="Bezmezer"/>
      </w:pPr>
    </w:p>
    <w:sectPr w:rsidR="00A7271F" w:rsidRPr="00CD3719" w:rsidSect="0067229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2803" w:rsidRDefault="006A2803">
      <w:r>
        <w:separator/>
      </w:r>
    </w:p>
  </w:endnote>
  <w:endnote w:type="continuationSeparator" w:id="0">
    <w:p w:rsidR="006A2803" w:rsidRDefault="006A2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290" w:rsidRPr="00672290" w:rsidRDefault="00672290" w:rsidP="00672290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školství, </w:t>
    </w:r>
    <w:proofErr w:type="spellStart"/>
    <w:r>
      <w:rPr>
        <w:rFonts w:ascii="Calibri" w:hAnsi="Calibri"/>
        <w:i/>
        <w:iCs/>
      </w:rPr>
      <w:t>reg</w:t>
    </w:r>
    <w:proofErr w:type="spellEnd"/>
    <w:r>
      <w:rPr>
        <w:rFonts w:ascii="Calibri" w:hAnsi="Calibri"/>
        <w:i/>
        <w:iCs/>
      </w:rPr>
      <w:t xml:space="preserve">. </w:t>
    </w:r>
    <w:proofErr w:type="gramStart"/>
    <w:r>
      <w:rPr>
        <w:rFonts w:ascii="Calibri" w:hAnsi="Calibri"/>
        <w:i/>
        <w:iCs/>
      </w:rPr>
      <w:t>č.</w:t>
    </w:r>
    <w:proofErr w:type="gramEnd"/>
    <w:r>
      <w:rPr>
        <w:rFonts w:ascii="Calibri" w:hAnsi="Calibri"/>
        <w:i/>
        <w:iCs/>
      </w:rPr>
      <w:t xml:space="preserve"> CZ.1.07/1.1.00/14.0250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Pr="00770629" w:rsidRDefault="00770629" w:rsidP="00770629">
    <w:pPr>
      <w:pStyle w:val="Zpat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 xml:space="preserve">Zpracováno v rámci projektu </w:t>
    </w:r>
    <w:proofErr w:type="spellStart"/>
    <w:r w:rsidRPr="00F741E1">
      <w:rPr>
        <w:rFonts w:ascii="Calibri" w:hAnsi="Calibri"/>
        <w:i/>
        <w:iCs/>
      </w:rPr>
      <w:t>Littera</w:t>
    </w:r>
    <w:proofErr w:type="spellEnd"/>
    <w:r w:rsidRPr="00F741E1">
      <w:rPr>
        <w:rFonts w:ascii="Calibri" w:hAnsi="Calibri"/>
        <w:i/>
        <w:iCs/>
      </w:rPr>
      <w:t xml:space="preserve"> – Zvýšení kvality jazykového vzdělávání</w:t>
    </w:r>
    <w:r>
      <w:rPr>
        <w:rFonts w:ascii="Calibri" w:hAnsi="Calibri"/>
        <w:i/>
        <w:iCs/>
      </w:rPr>
      <w:t xml:space="preserve"> v systému počátečního školství</w:t>
    </w:r>
    <w:r w:rsidR="00707862">
      <w:rPr>
        <w:rFonts w:ascii="Calibri" w:hAnsi="Calibri"/>
        <w:i/>
        <w:iCs/>
      </w:rPr>
      <w:t xml:space="preserve">, </w:t>
    </w:r>
    <w:proofErr w:type="spellStart"/>
    <w:r w:rsidR="00707862">
      <w:rPr>
        <w:rFonts w:ascii="Calibri" w:hAnsi="Calibri"/>
        <w:i/>
        <w:iCs/>
      </w:rPr>
      <w:t>reg</w:t>
    </w:r>
    <w:proofErr w:type="spellEnd"/>
    <w:r w:rsidR="00707862">
      <w:rPr>
        <w:rFonts w:ascii="Calibri" w:hAnsi="Calibri"/>
        <w:i/>
        <w:iCs/>
      </w:rPr>
      <w:t xml:space="preserve">. </w:t>
    </w:r>
    <w:proofErr w:type="gramStart"/>
    <w:r w:rsidR="00707862">
      <w:rPr>
        <w:rFonts w:ascii="Calibri" w:hAnsi="Calibri"/>
        <w:i/>
        <w:iCs/>
      </w:rPr>
      <w:t>č.</w:t>
    </w:r>
    <w:proofErr w:type="gramEnd"/>
    <w:r w:rsidR="00707862">
      <w:rPr>
        <w:rFonts w:ascii="Calibri" w:hAnsi="Calibri"/>
        <w:i/>
        <w:iCs/>
      </w:rPr>
      <w:t xml:space="preserve"> CZ.1.07/1.1.00/14.0250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2803" w:rsidRDefault="006A2803">
      <w:r>
        <w:separator/>
      </w:r>
    </w:p>
  </w:footnote>
  <w:footnote w:type="continuationSeparator" w:id="0">
    <w:p w:rsidR="006A2803" w:rsidRDefault="006A28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2290" w:rsidRDefault="00672290">
    <w:pPr>
      <w:pStyle w:val="Zhlav"/>
    </w:pPr>
    <w:r w:rsidRPr="00672290">
      <w:rPr>
        <w:noProof/>
      </w:rPr>
      <w:drawing>
        <wp:anchor distT="0" distB="0" distL="0" distR="0" simplePos="0" relativeHeight="251659776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6475" cy="1485900"/>
          <wp:effectExtent l="19050" t="0" r="0" b="0"/>
          <wp:wrapSquare wrapText="largest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  <w:p w:rsidR="00672290" w:rsidRDefault="00672290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629" w:rsidRDefault="00387F94">
    <w:pPr>
      <w:pStyle w:val="Zhlav"/>
    </w:pPr>
    <w:r>
      <w:rPr>
        <w:noProof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822A9"/>
    <w:multiLevelType w:val="hybridMultilevel"/>
    <w:tmpl w:val="A798F352"/>
    <w:lvl w:ilvl="0" w:tplc="86C47C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42001B"/>
    <w:multiLevelType w:val="hybridMultilevel"/>
    <w:tmpl w:val="7256C2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6667C"/>
    <w:multiLevelType w:val="hybridMultilevel"/>
    <w:tmpl w:val="ECAC3FE6"/>
    <w:lvl w:ilvl="0" w:tplc="747898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41EE9"/>
    <w:multiLevelType w:val="hybridMultilevel"/>
    <w:tmpl w:val="FA449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635504"/>
    <w:multiLevelType w:val="hybridMultilevel"/>
    <w:tmpl w:val="66D455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C00EF"/>
    <w:multiLevelType w:val="hybridMultilevel"/>
    <w:tmpl w:val="DE04C228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A3BA5"/>
    <w:multiLevelType w:val="hybridMultilevel"/>
    <w:tmpl w:val="B4D855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CD7912"/>
    <w:multiLevelType w:val="hybridMultilevel"/>
    <w:tmpl w:val="FDCC314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16E43"/>
    <w:multiLevelType w:val="hybridMultilevel"/>
    <w:tmpl w:val="85E8BD26"/>
    <w:lvl w:ilvl="0" w:tplc="7BBA15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C84F3F"/>
    <w:rsid w:val="00007D95"/>
    <w:rsid w:val="00011D79"/>
    <w:rsid w:val="00014C12"/>
    <w:rsid w:val="00021350"/>
    <w:rsid w:val="0002219B"/>
    <w:rsid w:val="00033222"/>
    <w:rsid w:val="00043CD4"/>
    <w:rsid w:val="0004772D"/>
    <w:rsid w:val="00056EE9"/>
    <w:rsid w:val="000665E3"/>
    <w:rsid w:val="00066C32"/>
    <w:rsid w:val="000746ED"/>
    <w:rsid w:val="00077C68"/>
    <w:rsid w:val="0009117A"/>
    <w:rsid w:val="00095884"/>
    <w:rsid w:val="000A0E86"/>
    <w:rsid w:val="000A307F"/>
    <w:rsid w:val="000A356B"/>
    <w:rsid w:val="000A5EF7"/>
    <w:rsid w:val="000A6035"/>
    <w:rsid w:val="000A6E9B"/>
    <w:rsid w:val="000C6D20"/>
    <w:rsid w:val="000C7F7C"/>
    <w:rsid w:val="000D0075"/>
    <w:rsid w:val="000D0C93"/>
    <w:rsid w:val="000D22B8"/>
    <w:rsid w:val="000D302E"/>
    <w:rsid w:val="000E2A4B"/>
    <w:rsid w:val="00110CC5"/>
    <w:rsid w:val="001129EB"/>
    <w:rsid w:val="00120E66"/>
    <w:rsid w:val="00122864"/>
    <w:rsid w:val="00123D5B"/>
    <w:rsid w:val="00125307"/>
    <w:rsid w:val="00140AB6"/>
    <w:rsid w:val="00142807"/>
    <w:rsid w:val="0015255E"/>
    <w:rsid w:val="00171E60"/>
    <w:rsid w:val="00172EC1"/>
    <w:rsid w:val="001819EC"/>
    <w:rsid w:val="00185142"/>
    <w:rsid w:val="001851C2"/>
    <w:rsid w:val="001A0C50"/>
    <w:rsid w:val="001A5814"/>
    <w:rsid w:val="001B3ABF"/>
    <w:rsid w:val="001E6816"/>
    <w:rsid w:val="001F399C"/>
    <w:rsid w:val="00217B93"/>
    <w:rsid w:val="00226A4E"/>
    <w:rsid w:val="00253E49"/>
    <w:rsid w:val="00262353"/>
    <w:rsid w:val="00265E73"/>
    <w:rsid w:val="00265FA2"/>
    <w:rsid w:val="002670C8"/>
    <w:rsid w:val="002768C1"/>
    <w:rsid w:val="00280916"/>
    <w:rsid w:val="002877D2"/>
    <w:rsid w:val="002B0FD0"/>
    <w:rsid w:val="002C6563"/>
    <w:rsid w:val="002E46FA"/>
    <w:rsid w:val="002E5D84"/>
    <w:rsid w:val="002F36D5"/>
    <w:rsid w:val="00311FF7"/>
    <w:rsid w:val="003125AF"/>
    <w:rsid w:val="00316655"/>
    <w:rsid w:val="00320123"/>
    <w:rsid w:val="003214FD"/>
    <w:rsid w:val="003254A6"/>
    <w:rsid w:val="00337B3A"/>
    <w:rsid w:val="00360E14"/>
    <w:rsid w:val="00366633"/>
    <w:rsid w:val="00372400"/>
    <w:rsid w:val="00387F94"/>
    <w:rsid w:val="003958C7"/>
    <w:rsid w:val="003A29F4"/>
    <w:rsid w:val="003A6860"/>
    <w:rsid w:val="003B32D6"/>
    <w:rsid w:val="003B5E3F"/>
    <w:rsid w:val="003B72F7"/>
    <w:rsid w:val="003D06E2"/>
    <w:rsid w:val="003D1C56"/>
    <w:rsid w:val="003D3FC5"/>
    <w:rsid w:val="003F31DE"/>
    <w:rsid w:val="003F3BF9"/>
    <w:rsid w:val="003F3DD4"/>
    <w:rsid w:val="003F69F6"/>
    <w:rsid w:val="003F6F0D"/>
    <w:rsid w:val="00400185"/>
    <w:rsid w:val="0040153F"/>
    <w:rsid w:val="0041467C"/>
    <w:rsid w:val="00416925"/>
    <w:rsid w:val="004400FA"/>
    <w:rsid w:val="00467F8A"/>
    <w:rsid w:val="00474DEC"/>
    <w:rsid w:val="00477447"/>
    <w:rsid w:val="004811E3"/>
    <w:rsid w:val="004B4F32"/>
    <w:rsid w:val="004B683D"/>
    <w:rsid w:val="004B7EC6"/>
    <w:rsid w:val="00502ED2"/>
    <w:rsid w:val="00504AA3"/>
    <w:rsid w:val="0050704C"/>
    <w:rsid w:val="005379EE"/>
    <w:rsid w:val="00537A98"/>
    <w:rsid w:val="00544C45"/>
    <w:rsid w:val="00553753"/>
    <w:rsid w:val="005623D5"/>
    <w:rsid w:val="0057309C"/>
    <w:rsid w:val="0058399A"/>
    <w:rsid w:val="005A2599"/>
    <w:rsid w:val="005A4117"/>
    <w:rsid w:val="005A48EC"/>
    <w:rsid w:val="005B2FD4"/>
    <w:rsid w:val="005B44E6"/>
    <w:rsid w:val="005B4809"/>
    <w:rsid w:val="005D5326"/>
    <w:rsid w:val="005E5C8D"/>
    <w:rsid w:val="006016B1"/>
    <w:rsid w:val="00607012"/>
    <w:rsid w:val="0061012D"/>
    <w:rsid w:val="006139CF"/>
    <w:rsid w:val="00614C3E"/>
    <w:rsid w:val="0061728A"/>
    <w:rsid w:val="006228CC"/>
    <w:rsid w:val="006554D6"/>
    <w:rsid w:val="00661AD3"/>
    <w:rsid w:val="00672290"/>
    <w:rsid w:val="00682AA7"/>
    <w:rsid w:val="006948E1"/>
    <w:rsid w:val="00694939"/>
    <w:rsid w:val="006A0B84"/>
    <w:rsid w:val="006A2803"/>
    <w:rsid w:val="006B5652"/>
    <w:rsid w:val="006B57D8"/>
    <w:rsid w:val="006D51F0"/>
    <w:rsid w:val="006E21CE"/>
    <w:rsid w:val="006E3156"/>
    <w:rsid w:val="006F323B"/>
    <w:rsid w:val="00702328"/>
    <w:rsid w:val="00707862"/>
    <w:rsid w:val="00727726"/>
    <w:rsid w:val="00746D45"/>
    <w:rsid w:val="00750CC5"/>
    <w:rsid w:val="00755032"/>
    <w:rsid w:val="00760FAD"/>
    <w:rsid w:val="00770629"/>
    <w:rsid w:val="00791385"/>
    <w:rsid w:val="007945ED"/>
    <w:rsid w:val="007A522D"/>
    <w:rsid w:val="007C75BE"/>
    <w:rsid w:val="007C7ECA"/>
    <w:rsid w:val="007D0E8A"/>
    <w:rsid w:val="007D3EEB"/>
    <w:rsid w:val="007D4E6C"/>
    <w:rsid w:val="007F0DE6"/>
    <w:rsid w:val="007F50B1"/>
    <w:rsid w:val="00802AD8"/>
    <w:rsid w:val="00824DF1"/>
    <w:rsid w:val="008255D4"/>
    <w:rsid w:val="008341AA"/>
    <w:rsid w:val="00840463"/>
    <w:rsid w:val="00850A2C"/>
    <w:rsid w:val="00852F68"/>
    <w:rsid w:val="00881286"/>
    <w:rsid w:val="008B7770"/>
    <w:rsid w:val="008C150B"/>
    <w:rsid w:val="008C2954"/>
    <w:rsid w:val="008C2A34"/>
    <w:rsid w:val="008C4918"/>
    <w:rsid w:val="0090770A"/>
    <w:rsid w:val="00910CD5"/>
    <w:rsid w:val="00911898"/>
    <w:rsid w:val="00917ACC"/>
    <w:rsid w:val="00950940"/>
    <w:rsid w:val="00971DB9"/>
    <w:rsid w:val="00974A9C"/>
    <w:rsid w:val="00991F4A"/>
    <w:rsid w:val="00992DC4"/>
    <w:rsid w:val="009A4D77"/>
    <w:rsid w:val="009A7009"/>
    <w:rsid w:val="009B7BE5"/>
    <w:rsid w:val="009E3334"/>
    <w:rsid w:val="009F4184"/>
    <w:rsid w:val="009F5EB0"/>
    <w:rsid w:val="00A00F8D"/>
    <w:rsid w:val="00A42A4D"/>
    <w:rsid w:val="00A42E63"/>
    <w:rsid w:val="00A55CD9"/>
    <w:rsid w:val="00A645C9"/>
    <w:rsid w:val="00A66582"/>
    <w:rsid w:val="00A7271F"/>
    <w:rsid w:val="00AA6710"/>
    <w:rsid w:val="00AC3C5E"/>
    <w:rsid w:val="00AC5673"/>
    <w:rsid w:val="00AE6BBE"/>
    <w:rsid w:val="00AF0F18"/>
    <w:rsid w:val="00AF1669"/>
    <w:rsid w:val="00AF2C73"/>
    <w:rsid w:val="00B00858"/>
    <w:rsid w:val="00B045A3"/>
    <w:rsid w:val="00B33774"/>
    <w:rsid w:val="00B34336"/>
    <w:rsid w:val="00B36464"/>
    <w:rsid w:val="00B70829"/>
    <w:rsid w:val="00B70EA4"/>
    <w:rsid w:val="00B724A0"/>
    <w:rsid w:val="00B75A29"/>
    <w:rsid w:val="00B911B0"/>
    <w:rsid w:val="00B958DF"/>
    <w:rsid w:val="00BA26A0"/>
    <w:rsid w:val="00BB5B41"/>
    <w:rsid w:val="00BE4700"/>
    <w:rsid w:val="00BF0040"/>
    <w:rsid w:val="00BF1EDE"/>
    <w:rsid w:val="00BF2002"/>
    <w:rsid w:val="00C05354"/>
    <w:rsid w:val="00C200E4"/>
    <w:rsid w:val="00C22B72"/>
    <w:rsid w:val="00C22DF0"/>
    <w:rsid w:val="00C2348F"/>
    <w:rsid w:val="00C323C7"/>
    <w:rsid w:val="00C45FFA"/>
    <w:rsid w:val="00C51633"/>
    <w:rsid w:val="00C51CC8"/>
    <w:rsid w:val="00C56B48"/>
    <w:rsid w:val="00C62A1E"/>
    <w:rsid w:val="00C670F0"/>
    <w:rsid w:val="00C67AA6"/>
    <w:rsid w:val="00C750EF"/>
    <w:rsid w:val="00C750F8"/>
    <w:rsid w:val="00C75CDA"/>
    <w:rsid w:val="00C773D9"/>
    <w:rsid w:val="00C82BEA"/>
    <w:rsid w:val="00C83FBD"/>
    <w:rsid w:val="00C84F3F"/>
    <w:rsid w:val="00C90D9A"/>
    <w:rsid w:val="00CA2537"/>
    <w:rsid w:val="00CB3938"/>
    <w:rsid w:val="00CD1584"/>
    <w:rsid w:val="00CD3719"/>
    <w:rsid w:val="00CE2ED4"/>
    <w:rsid w:val="00CE56B1"/>
    <w:rsid w:val="00D006D6"/>
    <w:rsid w:val="00D1299B"/>
    <w:rsid w:val="00D1441B"/>
    <w:rsid w:val="00D30D98"/>
    <w:rsid w:val="00D422DF"/>
    <w:rsid w:val="00D42C43"/>
    <w:rsid w:val="00D53A31"/>
    <w:rsid w:val="00D55000"/>
    <w:rsid w:val="00D75441"/>
    <w:rsid w:val="00D75CC0"/>
    <w:rsid w:val="00D77BE1"/>
    <w:rsid w:val="00D83B3E"/>
    <w:rsid w:val="00D87801"/>
    <w:rsid w:val="00D96CAD"/>
    <w:rsid w:val="00DB6D2B"/>
    <w:rsid w:val="00DD6410"/>
    <w:rsid w:val="00DE56B7"/>
    <w:rsid w:val="00DF0810"/>
    <w:rsid w:val="00DF4CCE"/>
    <w:rsid w:val="00E00423"/>
    <w:rsid w:val="00E0350B"/>
    <w:rsid w:val="00E0645D"/>
    <w:rsid w:val="00E16133"/>
    <w:rsid w:val="00E4384D"/>
    <w:rsid w:val="00E6201F"/>
    <w:rsid w:val="00E74A94"/>
    <w:rsid w:val="00E7513A"/>
    <w:rsid w:val="00E770AB"/>
    <w:rsid w:val="00E83075"/>
    <w:rsid w:val="00E87417"/>
    <w:rsid w:val="00E93FC5"/>
    <w:rsid w:val="00E972DF"/>
    <w:rsid w:val="00ED0C5F"/>
    <w:rsid w:val="00ED4B27"/>
    <w:rsid w:val="00EF2C11"/>
    <w:rsid w:val="00EF4230"/>
    <w:rsid w:val="00F0297C"/>
    <w:rsid w:val="00F02A63"/>
    <w:rsid w:val="00F1531A"/>
    <w:rsid w:val="00F17D28"/>
    <w:rsid w:val="00F33561"/>
    <w:rsid w:val="00F34887"/>
    <w:rsid w:val="00F44C14"/>
    <w:rsid w:val="00F53D3F"/>
    <w:rsid w:val="00F676D2"/>
    <w:rsid w:val="00F72EE1"/>
    <w:rsid w:val="00F83F48"/>
    <w:rsid w:val="00FC2BDE"/>
    <w:rsid w:val="00FD55A3"/>
    <w:rsid w:val="00FF204F"/>
    <w:rsid w:val="00FF5035"/>
    <w:rsid w:val="00F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87417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7F5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rsid w:val="00142807"/>
    <w:rPr>
      <w:color w:val="0000FF"/>
      <w:u w:val="single"/>
    </w:rPr>
  </w:style>
  <w:style w:type="character" w:styleId="Sledovanodkaz">
    <w:name w:val="FollowedHyperlink"/>
    <w:rsid w:val="00B34336"/>
    <w:rPr>
      <w:color w:val="800080"/>
      <w:u w:val="single"/>
    </w:rPr>
  </w:style>
  <w:style w:type="paragraph" w:styleId="Zhlav">
    <w:name w:val="header"/>
    <w:basedOn w:val="Normln"/>
    <w:rsid w:val="00770629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770629"/>
    <w:pPr>
      <w:tabs>
        <w:tab w:val="center" w:pos="4536"/>
        <w:tab w:val="right" w:pos="9072"/>
      </w:tabs>
    </w:pPr>
  </w:style>
  <w:style w:type="paragraph" w:styleId="Bezmezer">
    <w:name w:val="No Spacing"/>
    <w:uiPriority w:val="1"/>
    <w:qFormat/>
    <w:rsid w:val="00802A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02AD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D8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A6035"/>
    <w:pPr>
      <w:ind w:left="720"/>
      <w:contextualSpacing/>
    </w:pPr>
  </w:style>
  <w:style w:type="table" w:styleId="Stednmka1zvraznn1">
    <w:name w:val="Medium Grid 1 Accent 1"/>
    <w:basedOn w:val="Normlntabulka"/>
    <w:uiPriority w:val="67"/>
    <w:rsid w:val="00A7271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6F4850-A7F8-4AEF-ABD9-132DF3970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352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2431</CharactersWithSpaces>
  <SharedDoc>false</SharedDoc>
  <HLinks>
    <vt:vector size="18" baseType="variant">
      <vt:variant>
        <vt:i4>4128811</vt:i4>
      </vt:variant>
      <vt:variant>
        <vt:i4>12</vt:i4>
      </vt:variant>
      <vt:variant>
        <vt:i4>0</vt:i4>
      </vt:variant>
      <vt:variant>
        <vt:i4>5</vt:i4>
      </vt:variant>
      <vt:variant>
        <vt:lpwstr>http://www.ru.all.biz/guide/phonecodes/</vt:lpwstr>
      </vt:variant>
      <vt:variant>
        <vt:lpwstr/>
      </vt:variant>
      <vt:variant>
        <vt:i4>1048607</vt:i4>
      </vt:variant>
      <vt:variant>
        <vt:i4>3</vt:i4>
      </vt:variant>
      <vt:variant>
        <vt:i4>0</vt:i4>
      </vt:variant>
      <vt:variant>
        <vt:i4>5</vt:i4>
      </vt:variant>
      <vt:variant>
        <vt:lpwstr>http://www.beeline.ru/sms</vt:lpwstr>
      </vt:variant>
      <vt:variant>
        <vt:lpwstr/>
      </vt:variant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http://www.russki-mat.net/trans.htm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Kuba Konečný</dc:creator>
  <cp:lastModifiedBy>Jakub</cp:lastModifiedBy>
  <cp:revision>9</cp:revision>
  <dcterms:created xsi:type="dcterms:W3CDTF">2013-02-14T17:45:00Z</dcterms:created>
  <dcterms:modified xsi:type="dcterms:W3CDTF">2013-02-14T20:08:00Z</dcterms:modified>
</cp:coreProperties>
</file>