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KnowVault 接口与权限手册</w:t>
      </w:r>
    </w:p>
    <w:p>
      <w:r>
        <w:t xml:space="preserve">本手册面向接口调用方与前端开发者，记录 KnowVault 动态 API 的路由生成规则、认证语义、文档生命周期接口以及权限判定模型。所有结论均来自实测，不是推测。</w:t>
      </w:r>
    </w:p>
    <w:p>
      <w:pPr>
        <w:pStyle w:val="Heading2"/>
      </w:pPr>
      <w:r>
        <w:t xml:space="preserve">动态 API 路由规则</w:t>
      </w:r>
    </w:p>
    <w:p>
      <w:r>
        <w:t xml:space="preserve">ABP 会按应用服务方法名的形态自动推导 HTTP 动词与路由，其中两条最容易写错。第一条：带输入对象参数的更新方法 UpdateAsync，被映射为 PUT 请求且路由不带主键，实体标识必须放在请求体里；如果在 URL 上拼接主键，实测会得到 405 方法不允许。第二条：删除方法 DeleteAsync 接收一个主键参数，被映射为 DELETE 请求且路由带主键段。创建方法 CreateAsync 映射为 POST，路由不带主键。</w:t>
      </w:r>
    </w:p>
    <w:p>
      <w:r>
        <w:t xml:space="preserve">服务名由接口名去掉开头的 I 与结尾的 AppService 后转成短横线小写形式，因此文档服务的路由前缀是 /api/app/document，知识库成员服务是 /api/app/knowledge-base-member。</w:t>
      </w:r>
    </w:p>
    <w:tbl>
      <w:tblPr>
        <w:tblW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type="auto"/>
          </w:tcPr>
          <w:p>
            <w:r>
              <w:t xml:space="preserve">方法形态</w:t>
            </w:r>
          </w:p>
        </w:tc>
        <w:tc>
          <w:tcPr>
            <w:tcW w:type="auto"/>
          </w:tcPr>
          <w:p>
            <w:r>
              <w:t xml:space="preserve">HTTP 动词与路由</w:t>
            </w:r>
          </w:p>
        </w:tc>
        <w:tc>
          <w:tcPr>
            <w:tcW w:type="auto"/>
          </w:tcPr>
          <w:p>
            <w:r>
              <w:t xml:space="preserve">备注</w:t>
            </w:r>
          </w:p>
        </w:tc>
      </w:tr>
      <w:tr>
        <w:tc>
          <w:tcPr>
            <w:tcW w:type="auto"/>
          </w:tcPr>
          <w:p>
            <w:r>
              <w:t xml:space="preserve">CreateAsync(输入DTO)</w:t>
            </w:r>
          </w:p>
        </w:tc>
        <w:tc>
          <w:tcPr>
            <w:tcW w:type="auto"/>
          </w:tcPr>
          <w:p>
            <w:r>
              <w:t xml:space="preserve">POST /api/app/{服务名}</w:t>
            </w:r>
          </w:p>
        </w:tc>
        <w:tc>
          <w:tcPr>
            <w:tcW w:type="auto"/>
          </w:tcPr>
          <w:p>
            <w:r>
              <w:t xml:space="preserve">实体标识在响应体中返回</w:t>
            </w:r>
          </w:p>
        </w:tc>
      </w:tr>
      <w:tr>
        <w:tc>
          <w:tcPr>
            <w:tcW w:type="auto"/>
          </w:tcPr>
          <w:p>
            <w:r>
              <w:t xml:space="preserve">UpdateAsync(输入DTO)</w:t>
            </w:r>
          </w:p>
        </w:tc>
        <w:tc>
          <w:tcPr>
            <w:tcW w:type="auto"/>
          </w:tcPr>
          <w:p>
            <w:r>
              <w:t xml:space="preserve">PUT /api/app/{服务名}</w:t>
            </w:r>
          </w:p>
        </w:tc>
        <w:tc>
          <w:tcPr>
            <w:tcW w:type="auto"/>
          </w:tcPr>
          <w:p>
            <w:r>
              <w:t xml:space="preserve">路由不带主键，主键在请求体</w:t>
            </w:r>
          </w:p>
        </w:tc>
      </w:tr>
      <w:tr>
        <w:tc>
          <w:tcPr>
            <w:tcW w:type="auto"/>
          </w:tcPr>
          <w:p>
            <w:r>
              <w:t xml:space="preserve">DeleteAsync(Guid id)</w:t>
            </w:r>
          </w:p>
        </w:tc>
        <w:tc>
          <w:tcPr>
            <w:tcW w:type="auto"/>
          </w:tcPr>
          <w:p>
            <w:r>
              <w:t xml:space="preserve">DELETE /api/app/{服务名}/{id}</w:t>
            </w:r>
          </w:p>
        </w:tc>
        <w:tc>
          <w:tcPr>
            <w:tcW w:type="auto"/>
          </w:tcPr>
          <w:p>
            <w:r>
              <w:t xml:space="preserve">主键在路由段</w:t>
            </w:r>
          </w:p>
        </w:tc>
      </w:tr>
      <w:tr>
        <w:tc>
          <w:tcPr>
            <w:tcW w:type="auto"/>
          </w:tcPr>
          <w:p>
            <w:r>
              <w:t xml:space="preserve">GetListAsync</w:t>
            </w:r>
          </w:p>
        </w:tc>
        <w:tc>
          <w:tcPr>
            <w:tcW w:type="auto"/>
          </w:tcPr>
          <w:p>
            <w:r>
              <w:t xml:space="preserve">GET /api/app/{服务名}</w:t>
            </w:r>
          </w:p>
        </w:tc>
        <w:tc>
          <w:tcPr>
            <w:tcW w:type="auto"/>
          </w:tcPr>
          <w:p>
            <w:r>
              <w:t xml:space="preserve">查询参数走 URL</w:t>
            </w:r>
          </w:p>
        </w:tc>
      </w:tr>
    </w:tbl>
    <w:p/>
    <w:p>
      <w:pPr>
        <w:pStyle w:val="Heading2"/>
      </w:pPr>
      <w:r>
        <w:t xml:space="preserve">认证与错误语义</w:t>
      </w:r>
    </w:p>
    <w:p>
      <w:r>
        <w:t xml:space="preserve">单页应用走资源所有者密码授权模式，复用已种子的公共客户端 KnowVault_App。Swagger 使用的客户端标识是 KnowVault_Swagger，其回调地址是 swagger 根地址下的 oauth2-redirect。主宿主自身地址是 https 协议的 44300 端口，认证颁发方与之相同并强制校验 HTTPS 元数据。</w:t>
      </w:r>
    </w:p>
    <w:p>
      <w:r>
        <w:t xml:space="preserve">针对 API 前缀下的请求，Cookie 认证方案的挑战被改写成 401 未授权并带上 WWW-Authenticate 为 Bearer 的响应头，而其它路径仍然跳转到登录页。前端的 axios 拦截器正是依据这个 401 语义清除本地令牌并退回登录态。</w:t>
      </w:r>
    </w:p>
    <w:p>
      <w:pPr>
        <w:pStyle w:val="Heading2"/>
      </w:pPr>
      <w:r>
        <w:t xml:space="preserve">文档生命周期</w:t>
      </w:r>
    </w:p>
    <w:p>
      <w:r>
        <w:t xml:space="preserve">上传接口按扩展名推断来源类型，白名单是七种扩展名，单文件上限 50MB，超限或不支持的类型抛出用户友好异常并返回中文提示。上传成功后先写 MinIO 原始对象，再落库文档记录，最后发布摄入消息。</w:t>
      </w:r>
    </w:p>
    <w:p>
      <w:pPr>
        <w:pStyle w:val="Heading3"/>
      </w:pPr>
      <w:r>
        <w:t xml:space="preserve">删除接口</w:t>
      </w:r>
    </w:p>
    <w:p>
      <w:r>
        <w:t xml:space="preserve">删除文档走清理顺序：先删 Qdrant 向量点，再删切片记录，再删文档记录，最后删 MinIO 原始文件。MinIO 删除失败只记录警告而不中断整个流程，因为向量与切片已经不可检索，孤儿对象属于可容忍的次要问题。</w:t>
      </w:r>
    </w:p>
    <w:p>
      <w:pPr>
        <w:pStyle w:val="Heading3"/>
      </w:pPr>
      <w:r>
        <w:t xml:space="preserve">重新处理接口</w:t>
      </w:r>
    </w:p>
    <w:p>
      <w:r>
        <w:t xml:space="preserve">重新处理先清空该文档的旧向量与旧切片，然后把状态置为 Pending，并在事务提交之后再发布摄入消息，避免消费者读到尚未提交的数据。文档实体上的 IngestAttemptCount 字段记录累计尝试次数。</w:t>
      </w:r>
    </w:p>
    <w:p>
      <w:pPr>
        <w:pStyle w:val="Heading2"/>
      </w:pPr>
      <w:r>
        <w:t xml:space="preserve">知识库管理</w:t>
      </w:r>
    </w:p>
    <w:p>
      <w:r>
        <w:t xml:space="preserve">知识库提供创建、更新与删除三个操作，删除仅限空库：默认知识库与任何仍包含文档的知识库都会被拒绝。P3 之后文档删除能力才落地，因此空库判定依赖当前文档表。</w:t>
      </w:r>
    </w:p>
    <w:p>
      <w:r>
        <w:t xml:space="preserve">成员管理接口只有 Owner 可以调用，默认知识库拒绝成员管理，删除最后一个 Owner 同样被拒绝。角色数值关系是 Viewer 等于 1、Editor 等于 2、Owner 等于 3。</w:t>
      </w:r>
    </w:p>
    <w:p>
      <w:pPr>
        <w:pStyle w:val="Heading2"/>
      </w:pPr>
      <w:r>
        <w:t xml:space="preserve">健康检查与可观测</w:t>
      </w:r>
    </w:p>
    <w:p>
      <w:r>
        <w:t xml:space="preserve">健康检查地址是 /health-status，包含数据库连通性检查。日志经 Serilog 的 Seq sink 直送 Seq；链路追踪用 OTLP 的 HTTP protobuf 协议送到 Seq 的 /ingest/otlp/v1/traces 路径，原因是 Seq 本地跑 gRPC 需要 HTTPS，无法走明文。自定义的 ActivitySource 名称是 KnowVault，span 名称依次为 qa.ask、rag.retrieve、embedding.embed、llm.complete、rerank.rerank 与 ingest.process。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/>
        <w:sz w:val="21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qFormat/>
    <w:pPr>
      <w:outlineLvl w:val="0"/>
    </w:pPr>
    <w:rPr>
      <w:b/>
      <w:sz w:val="20"/>
    </w:rPr>
  </w:style>
  <w:style w:type="paragraph" w:styleId="Heading2">
    <w:name w:val="Heading 2"/>
    <w:basedOn w:val="Normal"/>
    <w:qFormat/>
    <w:pPr>
      <w:outlineLvl w:val="1"/>
    </w:pPr>
    <w:rPr>
      <w:b/>
      <w:sz w:val="18"/>
    </w:rPr>
  </w:style>
  <w:style w:type="paragraph" w:styleId="Heading3">
    <w:name w:val="Heading 3"/>
    <w:basedOn w:val="Normal"/>
    <w:qFormat/>
    <w:pPr>
      <w:outlineLvl w:val="2"/>
    </w:pPr>
    <w:rPr>
      <w:b/>
      <w:sz w:val="16"/>
    </w:rPr>
  </w:style>
  <w:style w:type="paragraph" w:styleId="Heading4">
    <w:name w:val="Heading 4"/>
    <w:basedOn w:val="Normal"/>
    <w:qFormat/>
    <w:pPr>
      <w:outlineLvl w:val="3"/>
    </w:pPr>
    <w:rPr>
      <w:b/>
      <w:sz w:val="14"/>
    </w:rPr>
  </w:style>
  <w:style w:type="paragraph" w:styleId="Heading5">
    <w:name w:val="Heading 5"/>
    <w:basedOn w:val="Normal"/>
    <w:qFormat/>
    <w:pPr>
      <w:outlineLvl w:val="4"/>
    </w:pPr>
    <w:rPr>
      <w:b/>
      <w:sz w:val="12"/>
    </w:rPr>
  </w:style>
  <w:style w:type="paragraph" w:styleId="Heading6">
    <w:name w:val="Heading 6"/>
    <w:basedOn w:val="Normal"/>
    <w:qFormat/>
    <w:pPr>
      <w:outlineLvl w:val="5"/>
    </w:pPr>
    <w:rPr>
      <w:b/>
      <w:sz w:val="1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