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636CF6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636CF6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636CF6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636CF6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636CF6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636CF6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636CF6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636CF6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636CF6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636CF6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636CF6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636CF6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636CF6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636CF6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636CF6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636CF6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636CF6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636CF6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636CF6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636CF6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636CF6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636CF6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636CF6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636CF6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636CF6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636CF6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636CF6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636CF6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636CF6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636CF6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636CF6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636CF6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636CF6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636CF6" w:rsidP="00AA00FE">
            <w:hyperlink r:id="rId74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636CF6" w:rsidP="00AA00FE">
            <w:pPr>
              <w:rPr>
                <w:rStyle w:val="Hyperlink"/>
                <w:color w:val="FF0000"/>
              </w:rPr>
            </w:pPr>
            <w:hyperlink r:id="rId75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636CF6" w:rsidP="00AA00FE">
            <w:hyperlink r:id="rId77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BB2F16">
            <w:pPr>
              <w:ind w:left="113" w:right="113"/>
              <w:jc w:val="center"/>
            </w:pPr>
            <w:hyperlink r:id="rId78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636CF6" w:rsidP="00951131">
            <w:pPr>
              <w:ind w:left="113" w:right="113"/>
              <w:jc w:val="center"/>
            </w:pPr>
            <w:hyperlink r:id="rId79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636CF6" w:rsidP="00951131">
            <w:hyperlink r:id="rId82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636CF6" w:rsidP="005E53D3">
            <w:hyperlink r:id="rId85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636CF6" w:rsidP="00AA00FE">
            <w:hyperlink r:id="rId86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636CF6" w:rsidP="00AA00FE">
            <w:hyperlink r:id="rId87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694BF1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bookmarkStart w:id="0" w:name="_GoBack"/>
            <w:r>
              <w:t>Product view template</w:t>
            </w:r>
            <w:bookmarkEnd w:id="0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E53D3"/>
    <w:rsid w:val="00617537"/>
    <w:rsid w:val="0062096B"/>
    <w:rsid w:val="00636CF6"/>
    <w:rsid w:val="00640575"/>
    <w:rsid w:val="00651773"/>
    <w:rsid w:val="00654F56"/>
    <w:rsid w:val="006763ED"/>
    <w:rsid w:val="006B2782"/>
    <w:rsid w:val="006C41B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92AD0"/>
    <w:rsid w:val="00BB2F16"/>
    <w:rsid w:val="00BD4CF6"/>
    <w:rsid w:val="00C954FF"/>
    <w:rsid w:val="00CA20E9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theme" Target="theme/theme1.xm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21</Pages>
  <Words>4335</Words>
  <Characters>24713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2025-01-16T20:16:00Z</dcterms:created>
  <dcterms:modified xsi:type="dcterms:W3CDTF">2025-02-05T17:44:00Z</dcterms:modified>
</cp:coreProperties>
</file>