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b/>
          <w:color w:val="0F766E"/>
          <w:sz w:val="26"/>
        </w:rPr>
        <w:t>CIVITAS</w:t>
      </w:r>
    </w:p>
    <w:p>
      <w:pPr>
        <w:pStyle w:val="Title"/>
        <w:jc w:val="left"/>
      </w:pPr>
      <w:r>
        <w:t>Architecture Review &amp; Implementation Profile</w:t>
      </w:r>
    </w:p>
    <w:p>
      <w:pPr>
        <w:pStyle w:val="Subtitle"/>
        <w:spacing w:after="320"/>
      </w:pPr>
      <w:r>
        <w:t>Backend del onboarding de organizaciones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shd w:fill="EDF3F8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r>
              <w:rPr>
                <w:b/>
                <w:color w:val="17324D"/>
              </w:rPr>
              <w:t>Documento</w:t>
            </w:r>
          </w:p>
        </w:tc>
        <w:tc>
          <w:tcPr>
            <w:tcW w:type="dxa" w:w="8496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r>
              <w:t>Documento derivado 1 de 2 - Backend</w:t>
            </w:r>
          </w:p>
        </w:tc>
      </w:tr>
      <w:tr>
        <w:tc>
          <w:tcPr>
            <w:tcW w:type="dxa" w:w="1944"/>
            <w:shd w:fill="EDF3F8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r>
              <w:rPr>
                <w:b/>
                <w:color w:val="17324D"/>
              </w:rPr>
              <w:t>Versión</w:t>
            </w:r>
          </w:p>
        </w:tc>
        <w:tc>
          <w:tcPr>
            <w:tcW w:type="dxa" w:w="8496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r>
              <w:t>v1.2.1</w:t>
            </w:r>
          </w:p>
        </w:tc>
      </w:tr>
      <w:tr>
        <w:tc>
          <w:tcPr>
            <w:tcW w:type="dxa" w:w="1944"/>
            <w:shd w:fill="EDF3F8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r>
              <w:rPr>
                <w:b/>
                <w:color w:val="17324D"/>
              </w:rPr>
              <w:t>Estado</w:t>
            </w:r>
          </w:p>
        </w:tc>
        <w:tc>
          <w:tcPr>
            <w:tcW w:type="dxa" w:w="8496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r>
              <w:t>Perfil derivado reconciliado del contrato canónico v1.2.1</w:t>
            </w:r>
          </w:p>
        </w:tc>
      </w:tr>
      <w:tr>
        <w:tc>
          <w:tcPr>
            <w:tcW w:type="dxa" w:w="1944"/>
            <w:shd w:fill="EDF3F8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r>
              <w:rPr>
                <w:b/>
                <w:color w:val="17324D"/>
              </w:rPr>
              <w:t>Audiencia</w:t>
            </w:r>
          </w:p>
        </w:tc>
        <w:tc>
          <w:tcPr>
            <w:tcW w:type="dxa" w:w="8496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r>
              <w:t>Backend, Platform, Security, Identity, Authorization, Commercial y SRE</w:t>
            </w:r>
          </w:p>
        </w:tc>
      </w:tr>
      <w:tr>
        <w:tc>
          <w:tcPr>
            <w:tcW w:type="dxa" w:w="1944"/>
            <w:shd w:fill="EDF3F8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r>
              <w:rPr>
                <w:b/>
                <w:color w:val="17324D"/>
              </w:rPr>
              <w:t>Alcance</w:t>
            </w:r>
          </w:p>
        </w:tc>
        <w:tc>
          <w:tcPr>
            <w:tcW w:type="dxa" w:w="8496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r>
              <w:t>Aggregate, persistencia, APIs, bootstrap, Tenant Resolution, seguridad y activación</w:t>
            </w:r>
          </w:p>
        </w:tc>
      </w:tr>
      <w:tr>
        <w:tc>
          <w:tcPr>
            <w:tcW w:type="dxa" w:w="1944"/>
            <w:shd w:fill="EDF3F8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r>
              <w:rPr>
                <w:b/>
                <w:color w:val="17324D"/>
              </w:rPr>
              <w:t>Repositorio</w:t>
            </w:r>
          </w:p>
        </w:tc>
        <w:tc>
          <w:tcPr>
            <w:tcW w:type="dxa" w:w="8496"/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r>
              <w:t>didaxus/civitas10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F4F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F766E"/>
                <w:sz w:val="20"/>
              </w:rPr>
              <w:t>Autoridad documental</w:t>
              <w:br/>
            </w:r>
            <w:r>
              <w:rPr>
                <w:color w:val="1F2937"/>
                <w:sz w:val="18"/>
              </w:rPr>
              <w:t>Este documento implementa y explica el contrato canónico CIVITAS-ORGANIZATION-ONBOARDING-AND-ACTIVATION v1.2.1. No puede redefinir estados, rutas, IDs, billing, authority boundaries, Tenant Resolution ni lifecycles. Cuando exista divergencia, prevalece el Markdown canónico.</w:t>
            </w:r>
          </w:p>
        </w:tc>
      </w:tr>
    </w:tbl>
    <w:p>
      <w:pPr>
        <w:spacing w:after="0"/>
      </w:pPr>
    </w:p>
    <w:p>
      <w:r/>
    </w:p>
    <w:p>
      <w:pPr>
        <w:pStyle w:val="Heading1"/>
      </w:pPr>
      <w:r>
        <w:t>1. Decisión ejecutiva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F4F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F766E"/>
                <w:sz w:val="20"/>
              </w:rPr>
              <w:t>Decisión</w:t>
              <w:br/>
            </w:r>
            <w:r>
              <w:rPr>
                <w:color w:val="1F2937"/>
                <w:sz w:val="18"/>
              </w:rPr>
              <w:t>El backend conserva el provisioning funcional actual y lo encapsula como bootstrap mínimo dentro de un aggregate persistente. El onboarding comienza antes de crear la organización en Logto y continúa hasta activation plan, aprobación, activation run, verificación y publicación.</w:t>
            </w:r>
          </w:p>
        </w:tc>
      </w:tr>
    </w:tbl>
    <w:p>
      <w:pPr>
        <w:spacing w:after="0"/>
      </w:pPr>
    </w:p>
    <w:p>
      <w:pPr>
        <w:pStyle w:val="CodeBlock"/>
      </w:pPr>
      <w:r>
        <w:t>OrganizationOnboarding creado</w:t>
        <w:br/>
        <w:t>→ bootstrap plan</w:t>
        <w:br/>
        <w:t>→ bootstrap run</w:t>
        <w:br/>
        <w:t>→ runCanonicalOrganizationProvisioning()</w:t>
        <w:br/>
        <w:t>→ organization + admins materializados</w:t>
        <w:br/>
        <w:t>→ configuration</w:t>
        <w:br/>
        <w:t>→ identidad, estructura y autorización</w:t>
        <w:br/>
        <w:t>→ activation plan</w:t>
        <w:br/>
        <w:t>→ aprobación Owner</w:t>
        <w:br/>
        <w:t>→ activation run</w:t>
        <w:br/>
        <w:t>→ publicación</w:t>
      </w:r>
    </w:p>
    <w:p>
      <w:r>
        <w:t>La implementación actual no se elimina ni se trata como error. La brecha consiste en que todavía no está contenida por onboardingId, plan/run, checkpoints, reanudación y continuidad hacia los pasos restantes.</w:t>
      </w:r>
    </w:p>
    <w:p>
      <w:pPr>
        <w:pStyle w:val="Heading1"/>
      </w:pPr>
      <w:r>
        <w:t>2. Contratos y precedencia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456"/>
            <w:shd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Área</w:t>
            </w:r>
          </w:p>
        </w:tc>
        <w:tc>
          <w:tcPr>
            <w:tcW w:type="dxa" w:w="6912"/>
            <w:shd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Autoridad</w:t>
            </w:r>
          </w:p>
        </w:tc>
      </w:tr>
      <w:tr>
        <w:tc>
          <w:tcPr>
            <w:tcW w:type="dxa" w:w="345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Tenant hostname, BFF y sesión</w:t>
            </w:r>
          </w:p>
        </w:tc>
        <w:tc>
          <w:tcPr>
            <w:tcW w:type="dxa" w:w="691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Tenant Resolution</w:t>
            </w:r>
          </w:p>
        </w:tc>
      </w:tr>
      <w:tr>
        <w:tc>
          <w:tcPr>
            <w:tcW w:type="dxa" w:w="345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Identidad y memberships</w:t>
            </w:r>
          </w:p>
        </w:tc>
        <w:tc>
          <w:tcPr>
            <w:tcW w:type="dxa" w:w="691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Logto materializa; Civitas mantiene desired state y provenance</w:t>
            </w:r>
          </w:p>
        </w:tc>
      </w:tr>
      <w:tr>
        <w:tc>
          <w:tcPr>
            <w:tcW w:type="dxa" w:w="345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Onboarding y activación</w:t>
            </w:r>
          </w:p>
        </w:tc>
        <w:tc>
          <w:tcPr>
            <w:tcW w:type="dxa" w:w="691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Contrato canónico v1.2.1</w:t>
            </w:r>
          </w:p>
        </w:tc>
      </w:tr>
      <w:tr>
        <w:tc>
          <w:tcPr>
            <w:tcW w:type="dxa" w:w="345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Autorización</w:t>
            </w:r>
          </w:p>
        </w:tc>
        <w:tc>
          <w:tcPr>
            <w:tcW w:type="dxa" w:w="691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Catálogo, ceilings, activations, PBAC y Data Scope de Civitas</w:t>
            </w:r>
          </w:p>
        </w:tc>
      </w:tr>
      <w:tr>
        <w:tc>
          <w:tcPr>
            <w:tcW w:type="dxa" w:w="345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Branding</w:t>
            </w:r>
          </w:p>
        </w:tc>
        <w:tc>
          <w:tcPr>
            <w:tcW w:type="dxa" w:w="691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Organization Branding</w:t>
            </w:r>
          </w:p>
        </w:tc>
      </w:tr>
      <w:tr>
        <w:tc>
          <w:tcPr>
            <w:tcW w:type="dxa" w:w="345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Módulos</w:t>
            </w:r>
          </w:p>
        </w:tc>
        <w:tc>
          <w:tcPr>
            <w:tcW w:type="dxa" w:w="691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Contratos específicos de cada módulo</w:t>
            </w:r>
          </w:p>
        </w:tc>
      </w:tr>
    </w:tbl>
    <w:p>
      <w:pPr>
        <w:spacing w:after="0"/>
      </w:pPr>
    </w:p>
    <w:p>
      <w:r>
        <w:t>El Markdown canónico prevalece. Este perfil no puede reintroducir appSubdomain + appBaseDomain como autoridad, rutas tenant con organizationId visible ni una segunda membership canónica.</w:t>
      </w:r>
    </w:p>
    <w:p>
      <w:pPr>
        <w:pStyle w:val="Heading1"/>
      </w:pPr>
      <w:r>
        <w:t>3. Identificadores y Tenant Resolution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Identificador</w:t>
            </w:r>
          </w:p>
        </w:tc>
        <w:tc>
          <w:tcPr>
            <w:tcW w:type="dxa" w:w="7488"/>
            <w:shd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Contrato</w:t>
            </w:r>
          </w:p>
        </w:tc>
      </w:tr>
      <w:tr>
        <w:tc>
          <w:tcPr>
            <w:tcW w:type="dxa" w:w="28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onboardingId</w:t>
            </w:r>
          </w:p>
        </w:tc>
        <w:tc>
          <w:tcPr>
            <w:tcW w:type="dxa" w:w="748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Aggregate estable creado antes del bootstrap.</w:t>
            </w:r>
          </w:p>
        </w:tc>
      </w:tr>
      <w:tr>
        <w:tc>
          <w:tcPr>
            <w:tcW w:type="dxa" w:w="28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organizationId</w:t>
            </w:r>
          </w:p>
        </w:tc>
        <w:tc>
          <w:tcPr>
            <w:tcW w:type="dxa" w:w="748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ID interno Civitas y FK tenant-bound.</w:t>
            </w:r>
          </w:p>
        </w:tc>
      </w:tr>
      <w:tr>
        <w:tc>
          <w:tcPr>
            <w:tcW w:type="dxa" w:w="28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logtoOrganizationId</w:t>
            </w:r>
          </w:p>
        </w:tc>
        <w:tc>
          <w:tcPr>
            <w:tcW w:type="dxa" w:w="748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Referencia externa única de Logto.</w:t>
            </w:r>
          </w:p>
        </w:tc>
      </w:tr>
      <w:tr>
        <w:tc>
          <w:tcPr>
            <w:tcW w:type="dxa" w:w="28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tenantSlug</w:t>
            </w:r>
          </w:p>
        </w:tc>
        <w:tc>
          <w:tcPr>
            <w:tcW w:type="dxa" w:w="748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Slug reservado por Tenant Resolution.</w:t>
            </w:r>
          </w:p>
        </w:tc>
      </w:tr>
      <w:tr>
        <w:tc>
          <w:tcPr>
            <w:tcW w:type="dxa" w:w="28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hostnameId</w:t>
            </w:r>
          </w:p>
        </w:tc>
        <w:tc>
          <w:tcPr>
            <w:tcW w:type="dxa" w:w="748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Referencia al OrganizationHostname autoritativo.</w:t>
            </w:r>
          </w:p>
        </w:tc>
      </w:tr>
      <w:tr>
        <w:tc>
          <w:tcPr>
            <w:tcW w:type="dxa" w:w="28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membershipId</w:t>
            </w:r>
          </w:p>
        </w:tc>
        <w:tc>
          <w:tcPr>
            <w:tcW w:type="dxa" w:w="748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ID real de membership Logto.</w:t>
            </w:r>
          </w:p>
        </w:tc>
      </w:tr>
    </w:tbl>
    <w:p>
      <w:pPr>
        <w:spacing w:after="0"/>
      </w:pPr>
    </w:p>
    <w:p>
      <w:pPr>
        <w:pStyle w:val="CodeBlock"/>
      </w:pPr>
      <w:r>
        <w:t>tenantSlug</w:t>
        <w:br/>
        <w:t>→ OrganizationHostname reserved</w:t>
        <w:br/>
        <w:t>→ hostnameId</w:t>
        <w:br/>
        <w:t>→ {tenantSlug}.portal.didaxus.com</w:t>
      </w:r>
    </w:p>
    <w:p>
      <w:r>
        <w:t>Inputs legacy appSubdomain/appBaseDomain pueden aceptarse solo en una capa de migración y se transforman antes de persistir. No participan en ownership ni publicación.</w:t>
      </w:r>
    </w:p>
    <w:p>
      <w:pPr>
        <w:pStyle w:val="Heading1"/>
      </w:pPr>
      <w:r>
        <w:t>4. Aggregate canónico</w:t>
      </w:r>
    </w:p>
    <w:p>
      <w:pPr>
        <w:pStyle w:val="CodeBlock"/>
      </w:pPr>
      <w:r>
        <w:t>type OrganizationOnboarding = {</w:t>
        <w:br/>
        <w:t xml:space="preserve">  id: string;</w:t>
        <w:br/>
        <w:t xml:space="preserve">  organizationId: string | null;</w:t>
        <w:br/>
        <w:t xml:space="preserve">  logtoOrganizationId: string | null;</w:t>
        <w:br/>
        <w:t xml:space="preserve">  tenantSlug: string;</w:t>
        <w:br/>
        <w:t xml:space="preserve">  hostnameId: string | null;</w:t>
        <w:br/>
        <w:t xml:space="preserve">  status: OnboardingStatus;</w:t>
        <w:br/>
        <w:t xml:space="preserve">  currentVisibleStep: VisibleStepKey;</w:t>
        <w:br/>
        <w:t xml:space="preserve">  completenessPercent: number;</w:t>
        <w:br/>
        <w:t xml:space="preserve">  securityReadiness: Readiness;</w:t>
        <w:br/>
        <w:t xml:space="preserve">  commercialReadiness: Readiness;</w:t>
        <w:br/>
        <w:t xml:space="preserve">  operationalReadiness: Readiness;</w:t>
        <w:br/>
        <w:t xml:space="preserve">  overallReadiness: Readiness;</w:t>
        <w:br/>
        <w:t xml:space="preserve">  version: number;</w:t>
        <w:br/>
        <w:t xml:space="preserve">  etag: string;</w:t>
        <w:br/>
        <w:t xml:space="preserve">  assignedOwnerId: string | null;</w:t>
        <w:br/>
        <w:t xml:space="preserve">  assignedImplementationUserIds: string[];</w:t>
        <w:br/>
        <w:t xml:space="preserve">  assignedOrganizationAdminIds: string[];</w:t>
        <w:br/>
        <w:t xml:space="preserve">  approvedPlanId: string | null;</w:t>
        <w:br/>
        <w:t xml:space="preserve">  approvedPlanHash: string | null;</w:t>
        <w:br/>
        <w:t xml:space="preserve">  approvedVersion: number | null;</w:t>
        <w:br/>
        <w:t xml:space="preserve">  activationResultStatus: "restricted_active" | "active" | null;</w:t>
        <w:br/>
        <w:t>};</w:t>
      </w:r>
    </w:p>
    <w:p>
      <w:r>
        <w:t>overallReadiness es derivado. El aggregate referencia bounded contexts y no duplica connections, roles, memberships, taxonomías, entitlements ni runtime bindings.</w:t>
      </w:r>
    </w:p>
    <w:p>
      <w:pPr>
        <w:pStyle w:val="Heading1"/>
      </w:pPr>
      <w:r>
        <w:t>5. Máquinas de estado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Máquina</w:t>
            </w:r>
          </w:p>
        </w:tc>
        <w:tc>
          <w:tcPr>
            <w:tcW w:type="dxa" w:w="8136"/>
            <w:shd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Estados</w:t>
            </w:r>
          </w:p>
        </w:tc>
      </w:tr>
      <w:tr>
        <w:tc>
          <w:tcPr>
            <w:tcW w:type="dxa" w:w="223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Onboarding</w:t>
            </w:r>
          </w:p>
        </w:tc>
        <w:tc>
          <w:tcPr>
            <w:tcW w:type="dxa" w:w="813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draft → bootstrap_validating → bootstrap_queued → bootstrap_running → configuring → ready_for_review → changes_requested → approved → activation_queued → activating → verifying → completed; alternos blocked, failed, rejected, cancelled, rollback_required</w:t>
            </w:r>
          </w:p>
        </w:tc>
      </w:tr>
      <w:tr>
        <w:tc>
          <w:tcPr>
            <w:tcW w:type="dxa" w:w="223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Organización</w:t>
            </w:r>
          </w:p>
        </w:tc>
        <w:tc>
          <w:tcPr>
            <w:tcW w:type="dxa" w:w="813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configuration, restricted_active, active, degraded, suspended, archived</w:t>
            </w:r>
          </w:p>
        </w:tc>
      </w:tr>
      <w:tr>
        <w:tc>
          <w:tcPr>
            <w:tcW w:type="dxa" w:w="223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Portal</w:t>
            </w:r>
          </w:p>
        </w:tc>
        <w:tc>
          <w:tcPr>
            <w:tcW w:type="dxa" w:w="813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reserved, unpublished, restricted, published, suspended</w:t>
            </w:r>
          </w:p>
        </w:tc>
      </w:tr>
      <w:tr>
        <w:tc>
          <w:tcPr>
            <w:tcW w:type="dxa" w:w="223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  <w:tc>
          <w:tcPr>
            <w:tcW w:type="dxa" w:w="813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not_requested, review_requested, in_review, changes_requested, approved, rejected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3F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7324D"/>
                <w:sz w:val="20"/>
              </w:rPr>
              <w:t>Invariante</w:t>
              <w:br/>
            </w:r>
            <w:r>
              <w:rPr>
                <w:color w:val="1F2937"/>
                <w:sz w:val="18"/>
              </w:rPr>
              <w:t>El onboarding nunca usa active, restricted_active, degraded o suspended como estado propio. completed conserva el resultado de activación alcanzado.</w:t>
            </w:r>
          </w:p>
        </w:tc>
      </w:tr>
    </w:tbl>
    <w:p>
      <w:pPr>
        <w:spacing w:after="0"/>
      </w:pPr>
    </w:p>
    <w:p>
      <w:pPr>
        <w:pStyle w:val="Heading1"/>
      </w:pPr>
      <w:r>
        <w:t>6. Bootstrap compatible con el repositorio</w:t>
      </w:r>
    </w:p>
    <w:p>
      <w:pPr>
        <w:pStyle w:val="CodeBlock"/>
      </w:pPr>
      <w:r>
        <w:t>OrganizationBootstrapPlanner</w:t>
        <w:br/>
        <w:t>→ OrganizationBootstrapRunner</w:t>
        <w:br/>
        <w:t xml:space="preserve">   → runCanonicalOrganizationProvisioning()</w:t>
      </w:r>
    </w:p>
    <w:p>
      <w:pPr>
        <w:pStyle w:val="ListNumber"/>
      </w:pPr>
      <w:r>
        <w:t>Crear OrganizationOnboarding y persistir datos mínimos.</w:t>
      </w:r>
    </w:p>
    <w:p>
      <w:pPr>
        <w:pStyle w:val="ListNumber"/>
      </w:pPr>
      <w:r>
        <w:t>Reservar tenantSlug y OrganizationHostname.</w:t>
      </w:r>
    </w:p>
    <w:p>
      <w:pPr>
        <w:pStyle w:val="ListNumber"/>
      </w:pPr>
      <w:r>
        <w:t>Compilar plan inmutable con operations e idempotency keys.</w:t>
      </w:r>
    </w:p>
    <w:p>
      <w:pPr>
        <w:pStyle w:val="ListNumber"/>
      </w:pPr>
      <w:r>
        <w:t>Ejecutar checkpoints del bootstrap runner.</w:t>
      </w:r>
    </w:p>
    <w:p>
      <w:pPr>
        <w:pStyle w:val="ListNumber"/>
      </w:pPr>
      <w:r>
        <w:t>Invocar el provisioning actual para Logto, admins, memberships y roles.</w:t>
      </w:r>
    </w:p>
    <w:p>
      <w:pPr>
        <w:pStyle w:val="ListNumber"/>
      </w:pPr>
      <w:r>
        <w:t>Persistir organizationId interno y logtoOrganizationId externo.</w:t>
      </w:r>
    </w:p>
    <w:p>
      <w:pPr>
        <w:pStyle w:val="ListNumber"/>
      </w:pPr>
      <w:r>
        <w:t>Dejar organization=configuration y portal=reserved/unpublished.</w:t>
      </w:r>
    </w:p>
    <w:p>
      <w:pPr>
        <w:pStyle w:val="ListNumber"/>
      </w:pPr>
      <w:r>
        <w:t>Emitir receipt y continuar a access_methods.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F4F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F766E"/>
                <w:sz w:val="20"/>
              </w:rPr>
              <w:t>Mensaje final del bootstrap</w:t>
              <w:br/>
            </w:r>
            <w:r>
              <w:rPr>
                <w:color w:val="1F2937"/>
                <w:sz w:val="18"/>
              </w:rPr>
              <w:t>Bootstrap completed. The organization and its initial administrators are ready. Continue with identity, provisioning, structure and access configuration.</w:t>
            </w:r>
          </w:p>
        </w:tc>
      </w:tr>
    </w:tbl>
    <w:p>
      <w:pPr>
        <w:spacing w:after="0"/>
      </w:pPr>
    </w:p>
    <w:p>
      <w:pPr>
        <w:pStyle w:val="Heading1"/>
      </w:pPr>
      <w:r>
        <w:t>7. Pasos, domain sections y registry</w:t>
      </w:r>
    </w:p>
    <w:p>
      <w:r>
        <w:t>El backend mantiene un registry versionado que diferencia visibleStep, domainSection, validationGroup, command, prerequisites y applicability. El frontend consume la misma fuente o un artefacto generado.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96"/>
            <w:shd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Visible step</w:t>
            </w:r>
          </w:p>
        </w:tc>
        <w:tc>
          <w:tcPr>
            <w:tcW w:type="dxa" w:w="7272"/>
            <w:shd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Domain sections</w:t>
            </w:r>
          </w:p>
        </w:tc>
      </w:tr>
      <w:tr>
        <w:tc>
          <w:tcPr>
            <w:tcW w:type="dxa" w:w="309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organization_portal</w:t>
            </w:r>
          </w:p>
        </w:tc>
        <w:tc>
          <w:tcPr>
            <w:tcW w:type="dxa" w:w="727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organization_profile, entry_point, branding, domain_claims</w:t>
            </w:r>
          </w:p>
        </w:tc>
      </w:tr>
      <w:tr>
        <w:tc>
          <w:tcPr>
            <w:tcW w:type="dxa" w:w="309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initial_administrators</w:t>
            </w:r>
          </w:p>
        </w:tc>
        <w:tc>
          <w:tcPr>
            <w:tcW w:type="dxa" w:w="727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bootstrap_admins, invitations, initial_governance</w:t>
            </w:r>
          </w:p>
        </w:tc>
      </w:tr>
      <w:tr>
        <w:tc>
          <w:tcPr>
            <w:tcW w:type="dxa" w:w="309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access_methods</w:t>
            </w:r>
          </w:p>
        </w:tc>
        <w:tc>
          <w:tcPr>
            <w:tcW w:type="dxa" w:w="727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identity_connections, routing, test_login, claims_inspection</w:t>
            </w:r>
          </w:p>
        </w:tc>
      </w:tr>
      <w:tr>
        <w:tc>
          <w:tcPr>
            <w:tcW w:type="dxa" w:w="309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provisioning_lifecycle</w:t>
            </w:r>
          </w:p>
        </w:tc>
        <w:tc>
          <w:tcPr>
            <w:tcW w:type="dxa" w:w="727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scim, jit, api_sync, native_admin, source_policies</w:t>
            </w:r>
          </w:p>
        </w:tc>
      </w:tr>
      <w:tr>
        <w:tc>
          <w:tcPr>
            <w:tcW w:type="dxa" w:w="309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identity_structure_mapping</w:t>
            </w:r>
          </w:p>
        </w:tc>
        <w:tc>
          <w:tcPr>
            <w:tcW w:type="dxa" w:w="727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attribute/group mappings, taxonomy, periods, teaching assignments</w:t>
            </w:r>
          </w:p>
        </w:tc>
      </w:tr>
      <w:tr>
        <w:tc>
          <w:tcPr>
            <w:tcW w:type="dxa" w:w="309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authorization_simulation</w:t>
            </w:r>
          </w:p>
        </w:tc>
        <w:tc>
          <w:tcPr>
            <w:tcW w:type="dxa" w:w="727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role candidates, ceilings, activations, PBAC, Data Scope, Access Preview</w:t>
            </w:r>
          </w:p>
        </w:tc>
      </w:tr>
      <w:tr>
        <w:tc>
          <w:tcPr>
            <w:tcW w:type="dxa" w:w="309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dry_run_review</w:t>
            </w:r>
          </w:p>
        </w:tc>
        <w:tc>
          <w:tcPr>
            <w:tcW w:type="dxa" w:w="727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reconciliation, entitlements, usage projection, readiness, activation plan</w:t>
            </w:r>
          </w:p>
        </w:tc>
      </w:tr>
      <w:tr>
        <w:tc>
          <w:tcPr>
            <w:tcW w:type="dxa" w:w="309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approval_publication</w:t>
            </w:r>
          </w:p>
        </w:tc>
        <w:tc>
          <w:tcPr>
            <w:tcW w:type="dxa" w:w="727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approval, activation run, verification, publication, receipt</w:t>
            </w:r>
          </w:p>
        </w:tc>
      </w:tr>
    </w:tbl>
    <w:p>
      <w:pPr>
        <w:spacing w:after="0"/>
      </w:pPr>
    </w:p>
    <w:p>
      <w:pPr>
        <w:pStyle w:val="Heading1"/>
      </w:pPr>
      <w:r>
        <w:t>8. APIs y superficies</w:t>
      </w:r>
    </w:p>
    <w:p>
      <w:pPr>
        <w:pStyle w:val="Heading2"/>
      </w:pPr>
      <w:r>
        <w:t>8.1 Core Manager Owner</w:t>
      </w:r>
    </w:p>
    <w:p>
      <w:pPr>
        <w:pStyle w:val="CodeBlock"/>
      </w:pPr>
      <w:r>
        <w:t>POST /api/v1/owner/organization-onboardings</w:t>
        <w:br/>
        <w:t>GET  /api/v1/owner/organization-onboardings/{onboardingId}</w:t>
        <w:br/>
        <w:t>PATCH /api/v1/owner/organization-onboardings/{onboardingId}</w:t>
        <w:br/>
        <w:t>POST /api/v1/owner/organization-onboardings/{id}/bootstrap-plans</w:t>
        <w:br/>
        <w:t>POST /api/v1/owner/organization-onboardings/{id}/bootstrap-runs</w:t>
        <w:br/>
        <w:t>POST /api/v1/owner/organization-onboardings/{id}/activation-plans</w:t>
        <w:br/>
        <w:t>POST /api/v1/owner/organization-onboardings/{id}/approval-decisions</w:t>
        <w:br/>
        <w:t>POST /api/v1/owner/organization-onboardings/{id}/activation-runs</w:t>
      </w:r>
    </w:p>
    <w:p>
      <w:pPr>
        <w:pStyle w:val="Heading2"/>
      </w:pPr>
      <w:r>
        <w:t>8.2 Organization Portal host-local</w:t>
      </w:r>
    </w:p>
    <w:p>
      <w:pPr>
        <w:pStyle w:val="CodeBlock"/>
      </w:pPr>
      <w:r>
        <w:t>GET   /api/onboarding</w:t>
        <w:br/>
        <w:t>PATCH /api/onboarding/steps/{visibleStepKey}</w:t>
        <w:br/>
        <w:t>POST  /api/onboarding/review-requests</w:t>
        <w:br/>
        <w:t>GET   /api/onboarding/readiness</w:t>
        <w:br/>
        <w:t>POST  /api/onboarding/activation-plan-requests</w:t>
      </w:r>
    </w:p>
    <w:p>
      <w:r>
        <w:t>El BFF resuelve organizationId desde TenantContext. La API central /api/v1/o/{organizationId}/... puede mantenerse internamente; JavaScript no selecciona el tenant.</w:t>
      </w:r>
    </w:p>
    <w:p>
      <w:pPr>
        <w:pStyle w:val="Heading1"/>
      </w:pPr>
      <w:r>
        <w:t>9. Persistencia e integración con fundamentos existentes</w:t>
      </w:r>
    </w:p>
    <w:p>
      <w:pPr>
        <w:pStyle w:val="ListBullet"/>
      </w:pPr>
      <w:r>
        <w:t>organization_onboardings y recursos específicos del aggregate se añaden como tablas nuevas.</w:t>
      </w:r>
    </w:p>
    <w:p>
      <w:pPr>
        <w:pStyle w:val="ListBullet"/>
      </w:pPr>
      <w:r>
        <w:t>organizationId referencia el ID interno canónico de Civitas.</w:t>
      </w:r>
    </w:p>
    <w:p>
      <w:pPr>
        <w:pStyle w:val="ListBullet"/>
      </w:pPr>
      <w:r>
        <w:t>Se reutilizan audit_logs, integration_outbox_events, integration_inbox_receipts, integration_dead_letters e idempotency_records.</w:t>
      </w:r>
    </w:p>
    <w:p>
      <w:pPr>
        <w:pStyle w:val="ListBullet"/>
      </w:pPr>
      <w:r>
        <w:t>No se crea otro outbox, otro ledger general de idempotencia ni otra identidad organizacional.</w:t>
      </w:r>
    </w:p>
    <w:p>
      <w:pPr>
        <w:pStyle w:val="ListBullet"/>
      </w:pPr>
      <w:r>
        <w:t>Todas las FKs tenant son compuestas cuando corresponda y las queries se ejecutan con contexto tenant.</w:t>
      </w:r>
    </w:p>
    <w:p>
      <w:pPr>
        <w:pStyle w:val="CodeBlock"/>
      </w:pPr>
      <w:r>
        <w:t>organization_onboardings</w:t>
        <w:br/>
        <w:t>organization_onboarding_step_snapshots</w:t>
        <w:br/>
        <w:t>organization_onboarding_collaborators</w:t>
        <w:br/>
        <w:t>organization_onboarding_validation_runs</w:t>
        <w:br/>
        <w:t>organization_onboarding_findings</w:t>
        <w:br/>
        <w:t>organization_activation_plans</w:t>
        <w:br/>
        <w:t>organization_activation_approvals</w:t>
        <w:br/>
        <w:t>organization_activation_runs</w:t>
        <w:br/>
        <w:t>organization_activation_evidence</w:t>
        <w:br/>
        <w:t>organization_readiness_snapshots</w:t>
        <w:br/>
        <w:t>teaching_assignments</w:t>
      </w:r>
    </w:p>
    <w:p>
      <w:pPr>
        <w:pStyle w:val="Heading1"/>
      </w:pPr>
      <w:r>
        <w:t>10. Identity, SCIM y administradores bootstrap</w:t>
      </w:r>
    </w:p>
    <w:p>
      <w:pPr>
        <w:pStyle w:val="ListBullet"/>
      </w:pPr>
      <w:r>
        <w:t>Membership efectiva se materializa en Logto; Civitas conserva desired state, mapping y provenance.</w:t>
      </w:r>
    </w:p>
    <w:p>
      <w:pPr>
        <w:pStyle w:val="ListBullet"/>
      </w:pPr>
      <w:r>
        <w:t>Un administrador bootstrap descubierto por SCIM debe reconciliarse con la misma identidad y membership.</w:t>
      </w:r>
    </w:p>
    <w:p>
      <w:pPr>
        <w:pStyle w:val="ListBullet"/>
      </w:pPr>
      <w:r>
        <w:t>Matching usa issuer, subject, externalId y evidencia; correo verificado es señal secundaria.</w:t>
      </w:r>
    </w:p>
    <w:p>
      <w:pPr>
        <w:pStyle w:val="ListBullet"/>
      </w:pPr>
      <w:r>
        <w:t>Removals destructivos se bloquean ante datos incompletos o provenance insuficiente.</w:t>
      </w:r>
    </w:p>
    <w:p>
      <w:pPr>
        <w:pStyle w:val="ListBullet"/>
      </w:pPr>
      <w:r>
        <w:t>No hard delete automático: suspensión y retención gobernada.</w:t>
      </w:r>
    </w:p>
    <w:p>
      <w:pPr>
        <w:pStyle w:val="ListBullet"/>
      </w:pPr>
      <w:r>
        <w:t>Tags/lists actuales pueden conservarse como metadata, pero no sustituyen taxonomía, organization units o Data Scope.</w:t>
      </w:r>
    </w:p>
    <w:p>
      <w:pPr>
        <w:pStyle w:val="Heading1"/>
      </w:pPr>
      <w:r>
        <w:t>11. Activation plan, aprobación y ejecución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Recurso/acción</w:t>
            </w:r>
          </w:p>
        </w:tc>
        <w:tc>
          <w:tcPr>
            <w:tcW w:type="dxa" w:w="7488"/>
            <w:shd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Regla</w:t>
            </w:r>
          </w:p>
        </w:tc>
      </w:tr>
      <w:tr>
        <w:tc>
          <w:tcPr>
            <w:tcW w:type="dxa" w:w="28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Activation plan</w:t>
            </w:r>
          </w:p>
        </w:tc>
        <w:tc>
          <w:tcPr>
            <w:tcW w:type="dxa" w:w="748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Snapshot inmutable de desired/observed state, versions, blockers, warnings y proyección comercial.</w:t>
            </w:r>
          </w:p>
        </w:tc>
      </w:tr>
      <w:tr>
        <w:tc>
          <w:tcPr>
            <w:tcW w:type="dxa" w:w="28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Approval</w:t>
            </w:r>
          </w:p>
        </w:tc>
        <w:tc>
          <w:tcPr>
            <w:tcW w:type="dxa" w:w="748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Owner autoriza planId, planHash, onboardingVersion y approvedTarget con reautenticación.</w:t>
            </w:r>
          </w:p>
        </w:tc>
      </w:tr>
      <w:tr>
        <w:tc>
          <w:tcPr>
            <w:tcW w:type="dxa" w:w="28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Activation run</w:t>
            </w:r>
          </w:p>
        </w:tc>
        <w:tc>
          <w:tcPr>
            <w:tcW w:type="dxa" w:w="748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Ejecuta únicamente la aprobación vigente y reautoriza cada mutación.</w:t>
            </w:r>
          </w:p>
        </w:tc>
      </w:tr>
      <w:tr>
        <w:tc>
          <w:tcPr>
            <w:tcW w:type="dxa" w:w="28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Verification</w:t>
            </w:r>
          </w:p>
        </w:tc>
        <w:tc>
          <w:tcPr>
            <w:tcW w:type="dxa" w:w="748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Compara desired/observed, ejecuta probes y produce evidence receipt.</w:t>
            </w:r>
          </w:p>
        </w:tc>
      </w:tr>
      <w:tr>
        <w:tc>
          <w:tcPr>
            <w:tcW w:type="dxa" w:w="28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Publication</w:t>
            </w:r>
          </w:p>
        </w:tc>
        <w:tc>
          <w:tcPr>
            <w:tcW w:type="dxa" w:w="748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Publica OrganizationHostname y superficies autorizadas según Tenant Resolution.</w:t>
            </w:r>
          </w:p>
        </w:tc>
      </w:tr>
    </w:tbl>
    <w:p>
      <w:pPr>
        <w:spacing w:after="0"/>
      </w:pPr>
    </w:p>
    <w:p>
      <w:r>
        <w:t>No usar activate_restricted ni activate_production como decisiones humanas. Approval y execution permanecen separados.</w:t>
      </w:r>
    </w:p>
    <w:p>
      <w:pPr>
        <w:pStyle w:val="Heading1"/>
      </w:pPr>
      <w:r>
        <w:t>12. Seguridad y aislamiento</w:t>
      </w:r>
    </w:p>
    <w:p>
      <w:pPr>
        <w:pStyle w:val="ListBullet"/>
      </w:pPr>
      <w:r>
        <w:t>Organization Portal hereda hostname autoritativo, BFF host-only, membership y enforcement de Tenant Resolution.</w:t>
      </w:r>
    </w:p>
    <w:p>
      <w:pPr>
        <w:pStyle w:val="ListBullet"/>
      </w:pPr>
      <w:r>
        <w:t>Mutaciones cookie-authenticated requieren protección CSRF del contrato BFF.</w:t>
      </w:r>
    </w:p>
    <w:p>
      <w:pPr>
        <w:pStyle w:val="ListBullet"/>
      </w:pPr>
      <w:r>
        <w:t>Owner usa autorización global separada y auditada.</w:t>
      </w:r>
    </w:p>
    <w:p>
      <w:pPr>
        <w:pStyle w:val="ListBullet"/>
      </w:pPr>
      <w:r>
        <w:t>Cada recurso, snapshot, plan, run y evidence valida organizationId.</w:t>
      </w:r>
    </w:p>
    <w:p>
      <w:pPr>
        <w:pStyle w:val="ListBullet"/>
      </w:pPr>
      <w:r>
        <w:t>Secrets usan references; nunca aparecen en snapshots, payloads de lectura ni logs.</w:t>
      </w:r>
    </w:p>
    <w:p>
      <w:pPr>
        <w:pStyle w:val="ListBullet"/>
      </w:pPr>
      <w:r>
        <w:t>If-Match y ETag son obligatorios en mutaciones versionadas.</w:t>
      </w:r>
    </w:p>
    <w:p>
      <w:pPr>
        <w:pStyle w:val="ListBullet"/>
      </w:pPr>
      <w:r>
        <w:t>Idempotency-Key se usa por comando, nunca como ID del onboarding.</w:t>
      </w:r>
    </w:p>
    <w:p>
      <w:pPr>
        <w:pStyle w:val="Heading1"/>
      </w:pPr>
      <w:r>
        <w:t>13. Workers, outbox y recuperación</w:t>
      </w:r>
    </w:p>
    <w:p>
      <w:pPr>
        <w:pStyle w:val="CodeBlock"/>
      </w:pPr>
      <w:r>
        <w:t>onboarding-bootstrap</w:t>
        <w:br/>
        <w:t>onboarding-validation</w:t>
        <w:br/>
        <w:t>onboarding-activation-plan</w:t>
        <w:br/>
        <w:t>onboarding-activation-run</w:t>
        <w:br/>
        <w:t>onboarding-verification</w:t>
        <w:br/>
        <w:t>onboarding-publication</w:t>
        <w:br/>
        <w:t>onboarding-notifications</w:t>
      </w:r>
    </w:p>
    <w:p>
      <w:r>
        <w:t>Eventos se escriben en integration_outbox_events dentro de la misma transacción. Retries usan backoff, checkpoints, idempotencia y DLQ. Un fallo parcial deja el onboarding reanudable y no obliga a recrear la organización.</w:t>
      </w:r>
    </w:p>
    <w:p>
      <w:pPr>
        <w:pStyle w:val="Heading1"/>
      </w:pPr>
      <w:r>
        <w:t>14. Gates de repositorio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96"/>
            <w:shd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Gate</w:t>
            </w:r>
          </w:p>
        </w:tc>
        <w:tc>
          <w:tcPr>
            <w:tcW w:type="dxa" w:w="7272"/>
            <w:shd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Debe demostrar</w:t>
            </w:r>
          </w:p>
        </w:tc>
      </w:tr>
      <w:tr>
        <w:tc>
          <w:tcPr>
            <w:tcW w:type="dxa" w:w="309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Document consistency</w:t>
            </w:r>
          </w:p>
        </w:tc>
        <w:tc>
          <w:tcPr>
            <w:tcW w:type="dxa" w:w="727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Contrato, backend y UI sin contradicciones.</w:t>
            </w:r>
          </w:p>
        </w:tc>
      </w:tr>
      <w:tr>
        <w:tc>
          <w:tcPr>
            <w:tcW w:type="dxa" w:w="309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Repository compliance</w:t>
            </w:r>
          </w:p>
        </w:tc>
        <w:tc>
          <w:tcPr>
            <w:tcW w:type="dxa" w:w="727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Rutas, aggregate, IDs, APIs, migraciones y navegación alineados.</w:t>
            </w:r>
          </w:p>
        </w:tc>
      </w:tr>
      <w:tr>
        <w:tc>
          <w:tcPr>
            <w:tcW w:type="dxa" w:w="309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Tenant Resolution integration</w:t>
            </w:r>
          </w:p>
        </w:tc>
        <w:tc>
          <w:tcPr>
            <w:tcW w:type="dxa" w:w="727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tenantSlug, hostnameId, rutas host-locales y BFF.</w:t>
            </w:r>
          </w:p>
        </w:tc>
      </w:tr>
      <w:tr>
        <w:tc>
          <w:tcPr>
            <w:tcW w:type="dxa" w:w="309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PostgreSQL</w:t>
            </w:r>
          </w:p>
        </w:tc>
        <w:tc>
          <w:tcPr>
            <w:tcW w:type="dxa" w:w="727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FKs, ETag/version, plans/runs y tenant isolation.</w:t>
            </w:r>
          </w:p>
        </w:tc>
      </w:tr>
      <w:tr>
        <w:tc>
          <w:tcPr>
            <w:tcW w:type="dxa" w:w="309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Authorization</w:t>
            </w:r>
          </w:p>
        </w:tc>
        <w:tc>
          <w:tcPr>
            <w:tcW w:type="dxa" w:w="727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Capacidades, actor boundaries y no owner escalation.</w:t>
            </w:r>
          </w:p>
        </w:tc>
      </w:tr>
      <w:tr>
        <w:tc>
          <w:tcPr>
            <w:tcW w:type="dxa" w:w="309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E2E multi-actor</w:t>
            </w:r>
          </w:p>
        </w:tc>
        <w:tc>
          <w:tcPr>
            <w:tcW w:type="dxa" w:w="727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Owner y Organization Admin sobre el mismo onboarding sin cross-tenant.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3F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7324D"/>
                <w:sz w:val="20"/>
              </w:rPr>
              <w:t>Estado reconciliado</w:t>
              <w:br/>
            </w:r>
            <w:r>
              <w:rPr>
                <w:color w:val="1F2937"/>
                <w:sz w:val="18"/>
              </w:rPr>
              <w:t>Documento: PASS. Repositorio: NOT_IMPLEMENTED hasta aplicar la fase foundation. Producción: NO-GO.</w:t>
            </w:r>
          </w:p>
        </w:tc>
      </w:tr>
    </w:tbl>
    <w:p>
      <w:pPr>
        <w:spacing w:after="0"/>
      </w:pPr>
    </w:p>
    <w:p>
      <w:pPr>
        <w:pStyle w:val="Heading1"/>
      </w:pPr>
      <w:r>
        <w:t>15. Plan de implementación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8063"/>
            <w:shd w:fill="17324D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Entregables</w:t>
            </w:r>
          </w:p>
        </w:tc>
      </w:tr>
      <w:tr>
        <w:tc>
          <w:tcPr>
            <w:tcW w:type="dxa" w:w="23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0 - Freeze</w:t>
            </w:r>
          </w:p>
        </w:tc>
        <w:tc>
          <w:tcPr>
            <w:tcW w:type="dxa" w:w="806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v1.2.1, IDs, Tenant Resolution, registries y gates.</w:t>
            </w:r>
          </w:p>
        </w:tc>
      </w:tr>
      <w:tr>
        <w:tc>
          <w:tcPr>
            <w:tcW w:type="dxa" w:w="23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1 - Aggregate</w:t>
            </w:r>
          </w:p>
        </w:tc>
        <w:tc>
          <w:tcPr>
            <w:tcW w:type="dxa" w:w="806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Schema, repositories, ETag, collaborators, readiness.</w:t>
            </w:r>
          </w:p>
        </w:tc>
      </w:tr>
      <w:tr>
        <w:tc>
          <w:tcPr>
            <w:tcW w:type="dxa" w:w="23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2 - Bootstrap</w:t>
            </w:r>
          </w:p>
        </w:tc>
        <w:tc>
          <w:tcPr>
            <w:tcW w:type="dxa" w:w="806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Planner/runner, wrapper del provisioning existente, receipt y reanudación.</w:t>
            </w:r>
          </w:p>
        </w:tc>
      </w:tr>
      <w:tr>
        <w:tc>
          <w:tcPr>
            <w:tcW w:type="dxa" w:w="23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3 - Tenant entry</w:t>
            </w:r>
          </w:p>
        </w:tc>
        <w:tc>
          <w:tcPr>
            <w:tcW w:type="dxa" w:w="806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Hostname reservation y Organization Portal BFF.</w:t>
            </w:r>
          </w:p>
        </w:tc>
      </w:tr>
      <w:tr>
        <w:tc>
          <w:tcPr>
            <w:tcW w:type="dxa" w:w="23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4 - Identity</w:t>
            </w:r>
          </w:p>
        </w:tc>
        <w:tc>
          <w:tcPr>
            <w:tcW w:type="dxa" w:w="806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Connections, tests y memberships.</w:t>
            </w:r>
          </w:p>
        </w:tc>
      </w:tr>
      <w:tr>
        <w:tc>
          <w:tcPr>
            <w:tcW w:type="dxa" w:w="23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5 - SCIM/Structure</w:t>
            </w:r>
          </w:p>
        </w:tc>
        <w:tc>
          <w:tcPr>
            <w:tcW w:type="dxa" w:w="806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Desired state, taxonomy, periods y teaching assignments.</w:t>
            </w:r>
          </w:p>
        </w:tc>
      </w:tr>
      <w:tr>
        <w:tc>
          <w:tcPr>
            <w:tcW w:type="dxa" w:w="23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6 - Authorization</w:t>
            </w:r>
          </w:p>
        </w:tc>
        <w:tc>
          <w:tcPr>
            <w:tcW w:type="dxa" w:w="806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Ceilings, activations, PBAC, Data Scope y preview.</w:t>
            </w:r>
          </w:p>
        </w:tc>
      </w:tr>
      <w:tr>
        <w:tc>
          <w:tcPr>
            <w:tcW w:type="dxa" w:w="23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7 - Commercial</w:t>
            </w:r>
          </w:p>
        </w:tc>
        <w:tc>
          <w:tcPr>
            <w:tcW w:type="dxa" w:w="806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Subscriptions, entitlements y métricas planning.</w:t>
            </w:r>
          </w:p>
        </w:tc>
      </w:tr>
      <w:tr>
        <w:tc>
          <w:tcPr>
            <w:tcW w:type="dxa" w:w="230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8 - Activation</w:t>
            </w:r>
          </w:p>
        </w:tc>
        <w:tc>
          <w:tcPr>
            <w:tcW w:type="dxa" w:w="806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Plan, approval, run, verification, publication y receipt.</w:t>
            </w:r>
          </w:p>
        </w:tc>
      </w:tr>
    </w:tbl>
    <w:p>
      <w:pPr>
        <w:spacing w:after="0"/>
      </w:pPr>
    </w:p>
    <w:p>
      <w:pPr>
        <w:pStyle w:val="Heading1"/>
      </w:pPr>
      <w:r>
        <w:t>16. Criterios de aceptación</w:t>
      </w:r>
    </w:p>
    <w:p>
      <w:pPr>
        <w:pStyle w:val="ListBullet"/>
      </w:pPr>
      <w:r>
        <w:t>El flujo actual continúa funcionando dentro del Bootstrap Runner.</w:t>
      </w:r>
    </w:p>
    <w:p>
      <w:pPr>
        <w:pStyle w:val="ListBullet"/>
      </w:pPr>
      <w:r>
        <w:t>OrganizationOnboarding existe antes de crear Logto organization.</w:t>
      </w:r>
    </w:p>
    <w:p>
      <w:pPr>
        <w:pStyle w:val="ListBullet"/>
      </w:pPr>
      <w:r>
        <w:t>organizationId y logtoOrganizationId nunca se confunden.</w:t>
      </w:r>
    </w:p>
    <w:p>
      <w:pPr>
        <w:pStyle w:val="ListBullet"/>
      </w:pPr>
      <w:r>
        <w:t>tenantSlug y hostnameId proceden de Tenant Resolution.</w:t>
      </w:r>
    </w:p>
    <w:p>
      <w:pPr>
        <w:pStyle w:val="ListBullet"/>
      </w:pPr>
      <w:r>
        <w:t>Organization Admin usa BFF host-local sin seleccionar organizationId.</w:t>
      </w:r>
    </w:p>
    <w:p>
      <w:pPr>
        <w:pStyle w:val="ListBullet"/>
      </w:pPr>
      <w:r>
        <w:t>Approval y activation run son operaciones distintas.</w:t>
      </w:r>
    </w:p>
    <w:p>
      <w:pPr>
        <w:pStyle w:val="ListBullet"/>
      </w:pPr>
      <w:r>
        <w:t>El bootstrap termina en configuration y continúa al paso 3.</w:t>
      </w:r>
    </w:p>
    <w:p>
      <w:pPr>
        <w:pStyle w:val="ListBullet"/>
      </w:pPr>
      <w:r>
        <w:t>Repository Compliance Checker puede informar PASS, PARTIAL, NOT_IMPLEMENTED o FAIL.</w:t>
      </w:r>
    </w:p>
    <w:p>
      <w:pPr>
        <w:pStyle w:val="Heading1"/>
        <w:spacing w:before="100" w:after="40"/>
      </w:pPr>
      <w:r>
        <w:t>17. Contrato backend de navegación v1.2.1</w:t>
      </w:r>
    </w:p>
    <w:p>
      <w:pPr>
        <w:spacing w:after="0" w:line="240" w:lineRule="auto"/>
      </w:pPr>
      <w:r>
        <w:rPr>
          <w:sz w:val="21"/>
        </w:rPr>
        <w:t>El backend no decide el layout visual, pero sí debe exponer una proyección versionada de navegación y acciones que impida que frontend, BFF y autorización mantengan reglas paralelas.</w:t>
      </w:r>
    </w:p>
    <w:p>
      <w:pPr>
        <w:pStyle w:val="CodeBlock"/>
        <w:spacing w:after="0" w:line="240" w:lineRule="auto"/>
      </w:pPr>
      <w:r>
        <w:t>Navigation projection</w:t>
        <w:br/>
        <w:t>→ step</w:t>
        <w:br/>
        <w:t>→ section</w:t>
        <w:br/>
        <w:t>→ finding</w:t>
        <w:br/>
        <w:t>→ actor</w:t>
        <w:br/>
        <w:t>→ onboarding state</w:t>
        <w:br/>
        <w:t>→ organization state</w:t>
        <w:br/>
        <w:t>→ capabilities</w:t>
        <w:br/>
        <w:t>→ allowed actions</w:t>
      </w:r>
    </w:p>
    <w:p>
      <w:pPr>
        <w:pStyle w:val="Heading2"/>
        <w:spacing w:before="100" w:after="40"/>
      </w:pPr>
      <w:r>
        <w:t>17.1 Proyección de navegación</w:t>
      </w:r>
    </w:p>
    <w:p>
      <w:pPr>
        <w:pStyle w:val="ListBullet"/>
        <w:spacing w:after="0" w:line="240" w:lineRule="auto"/>
      </w:pPr>
      <w:r>
        <w:rPr>
          <w:sz w:val="21"/>
        </w:rPr>
        <w:t>El registry canónico incluye defaultSectionKey, sectionKey, finding route, parent, resume, exit y breadcrumb segments.</w:t>
      </w:r>
    </w:p>
    <w:p>
      <w:pPr>
        <w:pStyle w:val="ListBullet"/>
        <w:spacing w:after="0" w:line="240" w:lineRule="auto"/>
      </w:pPr>
      <w:r>
        <w:rPr>
          <w:sz w:val="21"/>
        </w:rPr>
        <w:t>La API Owner y el BFF tenant materializan la misma política para su superficie; no devuelven rutas de otro workspace.</w:t>
      </w:r>
    </w:p>
    <w:p>
      <w:pPr>
        <w:pStyle w:val="ListBullet"/>
        <w:spacing w:after="0" w:line="240" w:lineRule="auto"/>
      </w:pPr>
      <w:r>
        <w:rPr>
          <w:sz w:val="21"/>
        </w:rPr>
        <w:t>La ruta de step sin section resuelve al defaultSectionKey y no depende de React state.</w:t>
      </w:r>
    </w:p>
    <w:p>
      <w:pPr>
        <w:pStyle w:val="ListBullet"/>
        <w:spacing w:after="0" w:line="240" w:lineRule="auto"/>
      </w:pPr>
      <w:r>
        <w:rPr>
          <w:sz w:val="21"/>
        </w:rPr>
        <w:t>La proyección incluye applicableSteps, nonApplicableSteps, currentApplicableOrdinal y totalApplicableSteps.</w:t>
      </w:r>
    </w:p>
    <w:p>
      <w:pPr>
        <w:pStyle w:val="Heading2"/>
        <w:spacing w:before="100" w:after="40"/>
      </w:pPr>
      <w:r>
        <w:t>17.2 APIs de navegación</w:t>
      </w:r>
    </w:p>
    <w:p>
      <w:pPr>
        <w:pStyle w:val="CodeBlock"/>
        <w:spacing w:after="0" w:line="240" w:lineRule="auto"/>
      </w:pPr>
      <w:r>
        <w:t>GET /api/v1/owner/organization-onboardings/{onboardingId}/navigation</w:t>
        <w:br/>
        <w:t>GET /api/v1/owner/organization-onboardings/{onboardingId}/resume</w:t>
        <w:br/>
        <w:t>GET /api/onboarding/navigation</w:t>
        <w:br/>
        <w:t>GET /api/onboarding/resume</w:t>
      </w:r>
    </w:p>
    <w:p>
      <w:pPr>
        <w:spacing w:after="0" w:line="240" w:lineRule="auto"/>
      </w:pPr>
      <w:r>
        <w:rPr>
          <w:sz w:val="21"/>
        </w:rPr>
        <w:t>Las respuestas incluyen ETag/context version y no permiten al cliente seleccionar organizationId en la superficie tenant.</w:t>
      </w:r>
    </w:p>
    <w:p>
      <w:pPr>
        <w:pStyle w:val="Heading2"/>
        <w:spacing w:before="100" w:after="40"/>
      </w:pPr>
      <w:r>
        <w:t>17.3 Findings y CTA actor-aware</w:t>
      </w:r>
    </w:p>
    <w:p>
      <w:pPr>
        <w:pStyle w:val="CodeBlock"/>
        <w:spacing w:after="0" w:line="240" w:lineRule="auto"/>
      </w:pPr>
      <w:r>
        <w:t>responsibleActor</w:t>
        <w:br/>
        <w:t>responsibleCapability</w:t>
        <w:br/>
        <w:t>resolutionMode</w:t>
        <w:br/>
        <w:t>resolutionStepKey</w:t>
        <w:br/>
        <w:t>resolutionSectionKey</w:t>
        <w:br/>
        <w:t>resolutionRouteTemplate</w:t>
        <w:br/>
        <w:t>requestAction</w:t>
      </w:r>
    </w:p>
    <w:p>
      <w:pPr>
        <w:pStyle w:val="ListBullet"/>
        <w:spacing w:after="0" w:line="240" w:lineRule="auto"/>
      </w:pPr>
      <w:r>
        <w:rPr>
          <w:sz w:val="21"/>
        </w:rPr>
        <w:t>Si el actor puede resolver, la proyección entrega la ruta exacta de section/finding.</w:t>
      </w:r>
    </w:p>
    <w:p>
      <w:pPr>
        <w:pStyle w:val="ListBullet"/>
        <w:spacing w:after="0" w:line="240" w:lineRule="auto"/>
      </w:pPr>
      <w:r>
        <w:rPr>
          <w:sz w:val="21"/>
        </w:rPr>
        <w:t>Si no puede, entrega una acción de solicitud/notificación y no una ruta forbidden.</w:t>
      </w:r>
    </w:p>
    <w:p>
      <w:pPr>
        <w:pStyle w:val="ListBullet"/>
        <w:spacing w:after="0" w:line="240" w:lineRule="auto"/>
      </w:pPr>
      <w:r>
        <w:rPr>
          <w:sz w:val="21"/>
        </w:rPr>
        <w:t>Las excepciones Owner y notas comerciales internas no se proyectan al Organization Admin.</w:t>
      </w:r>
    </w:p>
    <w:p>
      <w:pPr>
        <w:pStyle w:val="Heading2"/>
        <w:spacing w:before="100" w:after="40"/>
      </w:pPr>
      <w:r>
        <w:t>17.4 Reapertura e invalidación</w:t>
      </w:r>
    </w:p>
    <w:p>
      <w:pPr>
        <w:pStyle w:val="ListBullet"/>
        <w:spacing w:after="0" w:line="240" w:lineRule="auto"/>
      </w:pPr>
      <w:r>
        <w:rPr>
          <w:sz w:val="21"/>
        </w:rPr>
        <w:t>Reabrir un step complete requiere capability y crea una nueva versión editable.</w:t>
      </w:r>
    </w:p>
    <w:p>
      <w:pPr>
        <w:pStyle w:val="ListBullet"/>
        <w:spacing w:after="0" w:line="240" w:lineRule="auto"/>
      </w:pPr>
      <w:r>
        <w:rPr>
          <w:sz w:val="21"/>
        </w:rPr>
        <w:t>Validation runs dependientes se invalidan.</w:t>
      </w:r>
    </w:p>
    <w:p>
      <w:pPr>
        <w:pStyle w:val="ListBullet"/>
        <w:spacing w:after="0" w:line="240" w:lineRule="auto"/>
      </w:pPr>
      <w:r>
        <w:rPr>
          <w:sz w:val="21"/>
        </w:rPr>
        <w:t>Activation plans y approvals basados en la versión anterior pasan a stale.</w:t>
      </w:r>
    </w:p>
    <w:p>
      <w:pPr>
        <w:pStyle w:val="ListBullet"/>
        <w:spacing w:after="0" w:line="240" w:lineRule="auto"/>
      </w:pPr>
      <w:r>
        <w:rPr>
          <w:sz w:val="21"/>
        </w:rPr>
        <w:t>Un activation run nunca ejecuta un plan stale.</w:t>
      </w:r>
    </w:p>
    <w:p>
      <w:pPr>
        <w:pStyle w:val="Heading2"/>
        <w:spacing w:before="100" w:after="40"/>
      </w:pPr>
      <w:r>
        <w:t>17.5 Persistencia de guardado</w:t>
      </w:r>
    </w:p>
    <w:p>
      <w:pPr>
        <w:pStyle w:val="ListBullet"/>
        <w:spacing w:after="0" w:line="240" w:lineRule="auto"/>
      </w:pPr>
      <w:r>
        <w:rPr>
          <w:sz w:val="21"/>
        </w:rPr>
        <w:t>Autosave y Guardar borrador son PATCH idempotentes con If-Match.</w:t>
      </w:r>
    </w:p>
    <w:p>
      <w:pPr>
        <w:pStyle w:val="ListBullet"/>
        <w:spacing w:after="0" w:line="240" w:lineRule="auto"/>
      </w:pPr>
      <w:r>
        <w:rPr>
          <w:sz w:val="21"/>
        </w:rPr>
        <w:t>Continuar ejecuta flush, validación y transición solo después del commit.</w:t>
      </w:r>
    </w:p>
    <w:p>
      <w:pPr>
        <w:pStyle w:val="ListBullet"/>
        <w:spacing w:after="0" w:line="240" w:lineRule="auto"/>
      </w:pPr>
      <w:r>
        <w:rPr>
          <w:sz w:val="21"/>
        </w:rPr>
        <w:t>Guardar y salir no inventa un comando de dominio; fuerza persistencia durable y usa exitRoute del registry.</w:t>
      </w:r>
    </w:p>
    <w:p>
      <w:pPr>
        <w:pStyle w:val="ListBullet"/>
        <w:spacing w:after="0" w:line="240" w:lineRule="auto"/>
      </w:pPr>
      <w:r>
        <w:rPr>
          <w:sz w:val="21"/>
        </w:rPr>
        <w:t>Handoff conserva onboardingId, visibleStepKey, sectionKey y findingId.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6070"/>
        <w:sz w:val="15"/>
      </w:rPr>
      <w:t>CIVITAS-ONB-BACKEND · v1.2.1 · Didaxus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F766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2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20" w:after="80"/>
    </w:pPr>
    <w:rPr>
      <w:rFonts w:asciiTheme="majorHAnsi" w:eastAsiaTheme="majorEastAsia" w:hAnsiTheme="majorHAnsi" w:cstheme="majorBidi" w:ascii="Aptos" w:hAnsi="Aptos"/>
      <w:b w:val="0"/>
      <w:i/>
      <w:iCs/>
      <w:color w:val="0F766E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40" w:lineRule="auto"/>
      <w:ind w:left="230" w:right="115"/>
      <w:shd w:fill="F4F6F8"/>
    </w:pPr>
    <w:rPr>
      <w:rFonts w:ascii="Liberation Mono" w:hAnsi="Liberation Mono"/>
      <w:color w:val="1D2C3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